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81F" w:rsidRPr="00096606" w:rsidRDefault="00DC3B8C" w:rsidP="00BB581F">
      <w:pPr>
        <w:spacing w:line="276" w:lineRule="auto"/>
        <w:jc w:val="center"/>
        <w:rPr>
          <w:b/>
          <w:sz w:val="28"/>
          <w:szCs w:val="28"/>
          <w:shd w:val="clear" w:color="auto" w:fill="FFFFFF"/>
          <w:lang w:val="ro-RO"/>
        </w:rPr>
      </w:pPr>
      <w:r w:rsidRPr="00096606">
        <w:rPr>
          <w:b/>
          <w:sz w:val="28"/>
          <w:szCs w:val="28"/>
          <w:shd w:val="clear" w:color="auto" w:fill="FFFFFF"/>
          <w:lang w:val="ro-RO"/>
        </w:rPr>
        <w:t xml:space="preserve">RAPORT </w:t>
      </w:r>
    </w:p>
    <w:p w:rsidR="004A664D" w:rsidRPr="004D6408" w:rsidRDefault="00247980" w:rsidP="004D6408">
      <w:pPr>
        <w:jc w:val="center"/>
        <w:rPr>
          <w:b/>
          <w:sz w:val="32"/>
          <w:szCs w:val="32"/>
          <w:shd w:val="clear" w:color="auto" w:fill="FFFFFF"/>
          <w:lang w:val="ro-RO"/>
        </w:rPr>
      </w:pPr>
      <w:r w:rsidRPr="004D6408">
        <w:rPr>
          <w:b/>
          <w:sz w:val="32"/>
          <w:szCs w:val="32"/>
          <w:shd w:val="clear" w:color="auto" w:fill="FFFFFF"/>
          <w:lang w:val="ro-RO"/>
        </w:rPr>
        <w:t xml:space="preserve">trimestrial </w:t>
      </w:r>
      <w:r w:rsidR="00BB581F" w:rsidRPr="004D6408">
        <w:rPr>
          <w:b/>
          <w:sz w:val="32"/>
          <w:szCs w:val="32"/>
          <w:shd w:val="clear" w:color="auto" w:fill="FFFFFF"/>
          <w:lang w:val="ro-RO"/>
        </w:rPr>
        <w:t xml:space="preserve">cu privire la activitatea </w:t>
      </w:r>
      <w:r w:rsidR="004A664D" w:rsidRPr="004D6408">
        <w:rPr>
          <w:b/>
          <w:sz w:val="32"/>
          <w:szCs w:val="32"/>
          <w:shd w:val="clear" w:color="auto" w:fill="FFFFFF"/>
          <w:lang w:val="ro-RO"/>
        </w:rPr>
        <w:t>Agenției Naționale pentru Sănătate Publică</w:t>
      </w:r>
      <w:r w:rsidR="00096606" w:rsidRPr="004D6408">
        <w:rPr>
          <w:b/>
          <w:sz w:val="32"/>
          <w:szCs w:val="32"/>
          <w:shd w:val="clear" w:color="auto" w:fill="FFFFFF"/>
          <w:lang w:val="ro-RO"/>
        </w:rPr>
        <w:t>,</w:t>
      </w:r>
    </w:p>
    <w:p w:rsidR="004D6408" w:rsidRDefault="00300139" w:rsidP="004D6408">
      <w:pPr>
        <w:jc w:val="center"/>
        <w:rPr>
          <w:b/>
          <w:bCs/>
          <w:sz w:val="32"/>
          <w:szCs w:val="32"/>
          <w:shd w:val="clear" w:color="auto" w:fill="FFFFFF"/>
          <w:lang w:val="ro-RO"/>
        </w:rPr>
      </w:pPr>
      <w:r w:rsidRPr="004D6408">
        <w:rPr>
          <w:b/>
          <w:bCs/>
          <w:sz w:val="32"/>
          <w:szCs w:val="32"/>
          <w:shd w:val="clear" w:color="auto" w:fill="FFFFFF"/>
          <w:lang w:val="ro-RO"/>
        </w:rPr>
        <w:t>pentru realizarea obiectivelor și indicatorilor de performanță</w:t>
      </w:r>
      <w:r w:rsidR="00455099" w:rsidRPr="004D6408">
        <w:rPr>
          <w:b/>
          <w:bCs/>
          <w:sz w:val="32"/>
          <w:szCs w:val="32"/>
          <w:shd w:val="clear" w:color="auto" w:fill="FFFFFF"/>
          <w:lang w:val="ro-RO"/>
        </w:rPr>
        <w:t>,</w:t>
      </w:r>
      <w:r w:rsidR="004D6408" w:rsidRPr="004D6408">
        <w:rPr>
          <w:b/>
          <w:bCs/>
          <w:sz w:val="32"/>
          <w:szCs w:val="32"/>
          <w:shd w:val="clear" w:color="auto" w:fill="FFFFFF"/>
          <w:lang w:val="ro-RO"/>
        </w:rPr>
        <w:t xml:space="preserve"> </w:t>
      </w:r>
    </w:p>
    <w:p w:rsidR="00DD2B4E" w:rsidRPr="004D6408" w:rsidRDefault="00300139" w:rsidP="004D6408">
      <w:pPr>
        <w:jc w:val="center"/>
        <w:rPr>
          <w:b/>
          <w:sz w:val="32"/>
          <w:szCs w:val="32"/>
          <w:shd w:val="clear" w:color="auto" w:fill="FFFFFF"/>
        </w:rPr>
      </w:pPr>
      <w:r w:rsidRPr="004D6408">
        <w:rPr>
          <w:b/>
          <w:bCs/>
          <w:sz w:val="32"/>
          <w:szCs w:val="32"/>
          <w:shd w:val="clear" w:color="auto" w:fill="FFFFFF"/>
          <w:lang w:val="ro-RO"/>
        </w:rPr>
        <w:t>conform HG 355/2020</w:t>
      </w:r>
      <w:r w:rsidR="004D6408" w:rsidRPr="004D6408">
        <w:rPr>
          <w:b/>
          <w:bCs/>
          <w:sz w:val="32"/>
          <w:szCs w:val="32"/>
          <w:shd w:val="clear" w:color="auto" w:fill="FFFFFF"/>
          <w:lang w:val="ro-RO"/>
        </w:rPr>
        <w:t>,</w:t>
      </w:r>
      <w:r w:rsidR="00096606" w:rsidRPr="004D6408">
        <w:rPr>
          <w:b/>
          <w:bCs/>
          <w:sz w:val="32"/>
          <w:szCs w:val="32"/>
          <w:shd w:val="clear" w:color="auto" w:fill="FFFFFF"/>
          <w:lang w:val="ro-RO"/>
        </w:rPr>
        <w:t xml:space="preserve"> î</w:t>
      </w:r>
      <w:r w:rsidR="00A109A6" w:rsidRPr="004D6408">
        <w:rPr>
          <w:b/>
          <w:bCs/>
          <w:sz w:val="32"/>
          <w:szCs w:val="32"/>
          <w:shd w:val="clear" w:color="auto" w:fill="FFFFFF"/>
          <w:lang w:val="ro-RO"/>
        </w:rPr>
        <w:t xml:space="preserve">n </w:t>
      </w:r>
      <w:r w:rsidR="00A109A6" w:rsidRPr="00840281">
        <w:rPr>
          <w:b/>
          <w:bCs/>
          <w:sz w:val="32"/>
          <w:szCs w:val="32"/>
          <w:shd w:val="clear" w:color="auto" w:fill="FFFFFF"/>
          <w:lang w:val="ro-RO"/>
        </w:rPr>
        <w:t xml:space="preserve">perioada </w:t>
      </w:r>
      <w:r w:rsidR="00007EEF">
        <w:rPr>
          <w:rFonts w:eastAsia="Calibri"/>
          <w:b/>
          <w:sz w:val="32"/>
          <w:szCs w:val="32"/>
          <w:lang w:val="ro-RO"/>
        </w:rPr>
        <w:t>octombrie-decembrie</w:t>
      </w:r>
      <w:r w:rsidR="00840281">
        <w:rPr>
          <w:rFonts w:eastAsia="Calibri"/>
          <w:sz w:val="24"/>
          <w:szCs w:val="24"/>
          <w:lang w:val="ro-RO"/>
        </w:rPr>
        <w:t xml:space="preserve"> </w:t>
      </w:r>
      <w:r w:rsidR="00BF6203" w:rsidRPr="004D6408">
        <w:rPr>
          <w:b/>
          <w:bCs/>
          <w:sz w:val="32"/>
          <w:szCs w:val="32"/>
          <w:shd w:val="clear" w:color="auto" w:fill="FFFFFF"/>
          <w:lang w:val="ro-RO"/>
        </w:rPr>
        <w:t xml:space="preserve">a. </w:t>
      </w:r>
      <w:r w:rsidR="00224281">
        <w:rPr>
          <w:b/>
          <w:bCs/>
          <w:sz w:val="32"/>
          <w:szCs w:val="32"/>
          <w:shd w:val="clear" w:color="auto" w:fill="FFFFFF"/>
          <w:lang w:val="ro-RO"/>
        </w:rPr>
        <w:t>2024</w:t>
      </w:r>
      <w:r w:rsidR="0067703E" w:rsidRPr="004D6408">
        <w:rPr>
          <w:b/>
          <w:bCs/>
          <w:sz w:val="32"/>
          <w:szCs w:val="32"/>
          <w:shd w:val="clear" w:color="auto" w:fill="FFFFFF"/>
          <w:lang w:val="ro-RO"/>
        </w:rPr>
        <w:t>.</w:t>
      </w:r>
    </w:p>
    <w:p w:rsidR="00A109A6" w:rsidRPr="00007EEF" w:rsidRDefault="00A109A6" w:rsidP="004A664D">
      <w:pPr>
        <w:spacing w:line="360" w:lineRule="auto"/>
        <w:jc w:val="center"/>
        <w:rPr>
          <w:b/>
          <w:sz w:val="28"/>
          <w:szCs w:val="28"/>
          <w:shd w:val="clear" w:color="auto" w:fill="FFFFFF"/>
        </w:rPr>
      </w:pP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2235"/>
        <w:gridCol w:w="2550"/>
        <w:gridCol w:w="2411"/>
        <w:gridCol w:w="5812"/>
        <w:gridCol w:w="2409"/>
      </w:tblGrid>
      <w:tr w:rsidR="00067FDF" w:rsidRPr="006E2476" w:rsidTr="00067FDF">
        <w:tc>
          <w:tcPr>
            <w:tcW w:w="2235" w:type="dxa"/>
          </w:tcPr>
          <w:p w:rsidR="00067FDF" w:rsidRPr="006E2476" w:rsidRDefault="00067FDF" w:rsidP="00067FDF">
            <w:pPr>
              <w:ind w:firstLine="0"/>
              <w:jc w:val="center"/>
              <w:rPr>
                <w:rFonts w:eastAsia="Calibri"/>
                <w:b/>
                <w:sz w:val="24"/>
                <w:szCs w:val="28"/>
                <w:lang w:val="ro-RO"/>
              </w:rPr>
            </w:pPr>
            <w:r w:rsidRPr="006E2476">
              <w:rPr>
                <w:rFonts w:eastAsia="Calibri"/>
                <w:b/>
                <w:sz w:val="24"/>
                <w:szCs w:val="28"/>
                <w:lang w:val="ro-RO"/>
              </w:rPr>
              <w:t>Obiectivul de activitate</w:t>
            </w:r>
          </w:p>
        </w:tc>
        <w:tc>
          <w:tcPr>
            <w:tcW w:w="2550" w:type="dxa"/>
          </w:tcPr>
          <w:p w:rsidR="00067FDF" w:rsidRPr="006E2476" w:rsidRDefault="00067FDF" w:rsidP="00067FDF">
            <w:pPr>
              <w:ind w:firstLine="0"/>
              <w:jc w:val="center"/>
              <w:rPr>
                <w:b/>
                <w:sz w:val="24"/>
                <w:szCs w:val="28"/>
              </w:rPr>
            </w:pPr>
            <w:r w:rsidRPr="006E2476">
              <w:rPr>
                <w:rFonts w:eastAsia="Calibri"/>
                <w:b/>
                <w:sz w:val="24"/>
                <w:szCs w:val="28"/>
                <w:lang w:val="ro-RO"/>
              </w:rPr>
              <w:t>Numărul indicatorului</w:t>
            </w:r>
          </w:p>
        </w:tc>
        <w:tc>
          <w:tcPr>
            <w:tcW w:w="2411" w:type="dxa"/>
          </w:tcPr>
          <w:p w:rsidR="00067FDF" w:rsidRPr="006E2476" w:rsidRDefault="00067FDF" w:rsidP="00067FDF">
            <w:pPr>
              <w:ind w:firstLine="0"/>
              <w:jc w:val="center"/>
              <w:rPr>
                <w:rFonts w:eastAsia="Calibri"/>
                <w:b/>
                <w:sz w:val="24"/>
                <w:szCs w:val="28"/>
                <w:lang w:val="ro-RO"/>
              </w:rPr>
            </w:pPr>
            <w:r w:rsidRPr="006E2476">
              <w:rPr>
                <w:rFonts w:eastAsia="Calibri"/>
                <w:b/>
                <w:sz w:val="24"/>
                <w:szCs w:val="28"/>
                <w:lang w:val="ro-RO"/>
              </w:rPr>
              <w:t>Valoarea țintă</w:t>
            </w:r>
          </w:p>
        </w:tc>
        <w:tc>
          <w:tcPr>
            <w:tcW w:w="5812" w:type="dxa"/>
          </w:tcPr>
          <w:p w:rsidR="00067FDF" w:rsidRPr="006E2476" w:rsidRDefault="00067FDF" w:rsidP="00067FDF">
            <w:pPr>
              <w:ind w:firstLine="0"/>
              <w:jc w:val="center"/>
              <w:rPr>
                <w:rFonts w:eastAsia="Calibri"/>
                <w:b/>
                <w:sz w:val="24"/>
                <w:szCs w:val="28"/>
                <w:lang w:val="ro-RO"/>
              </w:rPr>
            </w:pPr>
            <w:r w:rsidRPr="006E2476">
              <w:rPr>
                <w:rFonts w:eastAsia="Calibri"/>
                <w:b/>
                <w:sz w:val="24"/>
                <w:szCs w:val="28"/>
                <w:lang w:val="ro-RO"/>
              </w:rPr>
              <w:t>Acțiuni realizate</w:t>
            </w:r>
          </w:p>
        </w:tc>
        <w:tc>
          <w:tcPr>
            <w:tcW w:w="2409" w:type="dxa"/>
          </w:tcPr>
          <w:p w:rsidR="00067FDF" w:rsidRPr="006E2476" w:rsidRDefault="00067FDF" w:rsidP="00067FDF">
            <w:pPr>
              <w:ind w:firstLine="0"/>
              <w:jc w:val="center"/>
              <w:rPr>
                <w:rFonts w:eastAsia="Calibri"/>
                <w:b/>
                <w:sz w:val="24"/>
                <w:szCs w:val="28"/>
                <w:lang w:val="ro-RO"/>
              </w:rPr>
            </w:pPr>
            <w:r w:rsidRPr="006E2476">
              <w:rPr>
                <w:rFonts w:eastAsia="Calibri"/>
                <w:b/>
                <w:sz w:val="24"/>
                <w:szCs w:val="28"/>
                <w:lang w:val="ro-RO"/>
              </w:rPr>
              <w:t>Valoarea țintă</w:t>
            </w:r>
          </w:p>
        </w:tc>
      </w:tr>
      <w:tr w:rsidR="00067FDF" w:rsidRPr="006E2476" w:rsidTr="00067FDF">
        <w:tc>
          <w:tcPr>
            <w:tcW w:w="2235" w:type="dxa"/>
          </w:tcPr>
          <w:p w:rsidR="00067FDF" w:rsidRPr="00A14152" w:rsidRDefault="00067FDF" w:rsidP="00D23EAF">
            <w:pPr>
              <w:ind w:firstLine="0"/>
              <w:jc w:val="left"/>
              <w:rPr>
                <w:sz w:val="24"/>
                <w:szCs w:val="24"/>
                <w:lang w:val="ro-RO"/>
              </w:rPr>
            </w:pPr>
            <w:r w:rsidRPr="00A14152">
              <w:rPr>
                <w:sz w:val="24"/>
                <w:szCs w:val="24"/>
                <w:lang w:val="ro-RO"/>
              </w:rPr>
              <w:t xml:space="preserve">Consolidarea capacităților instituționale de consultare </w:t>
            </w:r>
          </w:p>
        </w:tc>
        <w:tc>
          <w:tcPr>
            <w:tcW w:w="2550" w:type="dxa"/>
          </w:tcPr>
          <w:p w:rsidR="00067FDF" w:rsidRPr="00A14152" w:rsidRDefault="00067FDF" w:rsidP="00D23EAF">
            <w:pPr>
              <w:ind w:firstLine="0"/>
              <w:jc w:val="left"/>
              <w:rPr>
                <w:rFonts w:eastAsia="Calibri"/>
                <w:sz w:val="24"/>
                <w:szCs w:val="24"/>
                <w:lang w:val="ro-RO"/>
              </w:rPr>
            </w:pPr>
            <w:r w:rsidRPr="00A14152">
              <w:rPr>
                <w:rFonts w:eastAsia="Calibri"/>
                <w:bCs/>
                <w:sz w:val="24"/>
                <w:szCs w:val="24"/>
                <w:lang w:val="ro-RO"/>
              </w:rPr>
              <w:t>Activități de consultanță (</w:t>
            </w:r>
            <w:r w:rsidRPr="00A14152">
              <w:rPr>
                <w:rFonts w:eastAsia="Calibri"/>
                <w:sz w:val="24"/>
                <w:szCs w:val="24"/>
                <w:lang w:val="ro-RO"/>
              </w:rPr>
              <w:t>A.3.1).</w:t>
            </w:r>
          </w:p>
          <w:p w:rsidR="00067FDF" w:rsidRPr="00A14152" w:rsidRDefault="00067FDF" w:rsidP="006E2476">
            <w:pPr>
              <w:ind w:firstLine="0"/>
              <w:jc w:val="left"/>
              <w:rPr>
                <w:rFonts w:eastAsia="Calibri"/>
                <w:sz w:val="24"/>
                <w:szCs w:val="24"/>
                <w:lang w:val="ro-RO"/>
              </w:rPr>
            </w:pPr>
          </w:p>
        </w:tc>
        <w:tc>
          <w:tcPr>
            <w:tcW w:w="2411" w:type="dxa"/>
          </w:tcPr>
          <w:p w:rsidR="00067FDF" w:rsidRPr="00A14152" w:rsidRDefault="009E28C2" w:rsidP="009E28C2">
            <w:pPr>
              <w:ind w:firstLine="0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Creșterea </w:t>
            </w:r>
            <w:r w:rsidRPr="009E28C2">
              <w:rPr>
                <w:sz w:val="24"/>
                <w:szCs w:val="24"/>
                <w:lang w:val="ro-RO"/>
              </w:rPr>
              <w:t>numărului de</w:t>
            </w:r>
            <w:r>
              <w:rPr>
                <w:sz w:val="24"/>
                <w:szCs w:val="24"/>
                <w:lang w:val="ro-RO"/>
              </w:rPr>
              <w:t xml:space="preserve"> </w:t>
            </w:r>
            <w:r w:rsidRPr="009E28C2">
              <w:rPr>
                <w:sz w:val="24"/>
                <w:szCs w:val="24"/>
                <w:lang w:val="ro-RO"/>
              </w:rPr>
              <w:t>consultații și instruiri</w:t>
            </w:r>
            <w:r>
              <w:rPr>
                <w:sz w:val="24"/>
                <w:szCs w:val="24"/>
                <w:lang w:val="ro-RO"/>
              </w:rPr>
              <w:t xml:space="preserve"> </w:t>
            </w:r>
            <w:r w:rsidRPr="009E28C2">
              <w:rPr>
                <w:sz w:val="24"/>
                <w:szCs w:val="24"/>
                <w:lang w:val="ro-RO"/>
              </w:rPr>
              <w:t>oferite de către organul de</w:t>
            </w:r>
            <w:r>
              <w:rPr>
                <w:sz w:val="24"/>
                <w:szCs w:val="24"/>
                <w:lang w:val="ro-RO"/>
              </w:rPr>
              <w:t xml:space="preserve"> </w:t>
            </w:r>
            <w:r w:rsidRPr="009E28C2">
              <w:rPr>
                <w:sz w:val="24"/>
                <w:szCs w:val="24"/>
                <w:lang w:val="ro-RO"/>
              </w:rPr>
              <w:t>control</w:t>
            </w:r>
          </w:p>
        </w:tc>
        <w:tc>
          <w:tcPr>
            <w:tcW w:w="5812" w:type="dxa"/>
          </w:tcPr>
          <w:p w:rsidR="009E28C2" w:rsidRPr="00AA12B6" w:rsidRDefault="009E28C2" w:rsidP="009E28C2">
            <w:pPr>
              <w:ind w:firstLine="34"/>
              <w:rPr>
                <w:sz w:val="24"/>
                <w:szCs w:val="24"/>
                <w:lang w:val="ro-RO"/>
              </w:rPr>
            </w:pPr>
            <w:r w:rsidRPr="00AA12B6">
              <w:rPr>
                <w:sz w:val="24"/>
                <w:szCs w:val="24"/>
                <w:lang w:val="ro-RO"/>
              </w:rPr>
              <w:t xml:space="preserve">De către specialiștii ANSP, în perioada </w:t>
            </w:r>
            <w:r w:rsidRPr="00AA12B6">
              <w:rPr>
                <w:rFonts w:eastAsia="Calibri"/>
                <w:sz w:val="24"/>
                <w:szCs w:val="24"/>
                <w:lang w:val="ro-RO"/>
              </w:rPr>
              <w:t>octombrie-decembrie a. 202</w:t>
            </w:r>
            <w:r>
              <w:rPr>
                <w:rFonts w:eastAsia="Calibri"/>
                <w:sz w:val="24"/>
                <w:szCs w:val="24"/>
                <w:lang w:val="ro-RO"/>
              </w:rPr>
              <w:t>4</w:t>
            </w:r>
            <w:r w:rsidRPr="00AA12B6">
              <w:rPr>
                <w:rFonts w:eastAsia="Calibri"/>
                <w:sz w:val="24"/>
                <w:szCs w:val="24"/>
                <w:lang w:val="ro-RO"/>
              </w:rPr>
              <w:t xml:space="preserve"> </w:t>
            </w:r>
            <w:r w:rsidRPr="00AA12B6">
              <w:rPr>
                <w:sz w:val="24"/>
                <w:szCs w:val="24"/>
                <w:lang w:val="ro-RO"/>
              </w:rPr>
              <w:t xml:space="preserve"> au fost organizate:</w:t>
            </w:r>
          </w:p>
          <w:p w:rsidR="009E28C2" w:rsidRPr="008434D6" w:rsidRDefault="008434D6" w:rsidP="008434D6">
            <w:pPr>
              <w:pStyle w:val="a6"/>
              <w:numPr>
                <w:ilvl w:val="0"/>
                <w:numId w:val="3"/>
              </w:numPr>
              <w:tabs>
                <w:tab w:val="left" w:pos="313"/>
              </w:tabs>
              <w:ind w:left="30" w:hanging="30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241</w:t>
            </w:r>
            <w:r w:rsidRPr="008434D6">
              <w:rPr>
                <w:sz w:val="24"/>
                <w:szCs w:val="24"/>
                <w:lang w:val="ro-RO"/>
              </w:rPr>
              <w:t xml:space="preserve"> de activități </w:t>
            </w:r>
            <w:r w:rsidR="009E28C2" w:rsidRPr="008434D6">
              <w:rPr>
                <w:sz w:val="24"/>
                <w:szCs w:val="24"/>
                <w:lang w:val="ro-RO"/>
              </w:rPr>
              <w:t>de informare și sensibilizare a persoanelor fizice și juridice, ce țin de respectarea legislației în domeniul sănătății publice. În acest sens, cum ar fi: seminare, mese rotunde, vizite de consultare, convorbiri, publicații în presă, emisiuni TV, Radio, postări pe pagina web oficială și paginile din rețelele de socializare a organului de control</w:t>
            </w:r>
            <w:r w:rsidRPr="008434D6">
              <w:rPr>
                <w:sz w:val="24"/>
                <w:szCs w:val="24"/>
                <w:lang w:val="ro-RO"/>
              </w:rPr>
              <w:t xml:space="preserve"> </w:t>
            </w:r>
            <w:r w:rsidR="009E28C2" w:rsidRPr="008434D6">
              <w:rPr>
                <w:sz w:val="24"/>
                <w:szCs w:val="24"/>
                <w:lang w:val="ro-RO"/>
              </w:rPr>
              <w:t>(CSP teritoriale), etc., pentru perioada similară an. 2023 -</w:t>
            </w:r>
            <w:r w:rsidRPr="008434D6">
              <w:rPr>
                <w:sz w:val="24"/>
                <w:szCs w:val="24"/>
                <w:lang w:val="ro-RO"/>
              </w:rPr>
              <w:t xml:space="preserve"> </w:t>
            </w:r>
            <w:r w:rsidR="009E28C2" w:rsidRPr="008434D6">
              <w:rPr>
                <w:sz w:val="24"/>
                <w:szCs w:val="24"/>
                <w:lang w:val="ro-RO"/>
              </w:rPr>
              <w:t>2</w:t>
            </w:r>
            <w:r>
              <w:rPr>
                <w:sz w:val="24"/>
                <w:szCs w:val="24"/>
                <w:lang w:val="ro-RO"/>
              </w:rPr>
              <w:t>40</w:t>
            </w:r>
            <w:r w:rsidR="009E28C2" w:rsidRPr="008434D6">
              <w:rPr>
                <w:sz w:val="24"/>
                <w:szCs w:val="24"/>
                <w:lang w:val="ro-RO"/>
              </w:rPr>
              <w:t>;</w:t>
            </w:r>
          </w:p>
          <w:p w:rsidR="009E28C2" w:rsidRPr="009E28C2" w:rsidRDefault="009E28C2" w:rsidP="008434D6">
            <w:pPr>
              <w:ind w:firstLine="34"/>
              <w:rPr>
                <w:sz w:val="24"/>
                <w:szCs w:val="24"/>
                <w:lang w:val="ro-RO"/>
              </w:rPr>
            </w:pPr>
            <w:r w:rsidRPr="009E28C2">
              <w:rPr>
                <w:sz w:val="24"/>
                <w:szCs w:val="24"/>
                <w:lang w:val="ro-RO"/>
              </w:rPr>
              <w:t xml:space="preserve">- </w:t>
            </w:r>
            <w:r w:rsidR="008434D6">
              <w:rPr>
                <w:sz w:val="24"/>
                <w:szCs w:val="24"/>
                <w:lang w:val="ro-RO"/>
              </w:rPr>
              <w:t>545</w:t>
            </w:r>
            <w:r w:rsidRPr="009E28C2">
              <w:rPr>
                <w:sz w:val="24"/>
                <w:szCs w:val="24"/>
                <w:lang w:val="ro-RO"/>
              </w:rPr>
              <w:t xml:space="preserve"> convorbiri cu persoanele fizice şi juridice ce</w:t>
            </w:r>
            <w:r w:rsidR="008434D6">
              <w:rPr>
                <w:sz w:val="24"/>
                <w:szCs w:val="24"/>
                <w:lang w:val="ro-RO"/>
              </w:rPr>
              <w:t xml:space="preserve"> </w:t>
            </w:r>
            <w:r w:rsidRPr="009E28C2">
              <w:rPr>
                <w:sz w:val="24"/>
                <w:szCs w:val="24"/>
                <w:lang w:val="ro-RO"/>
              </w:rPr>
              <w:t>practică activitate de întreprinzător, în cadrul controalelor</w:t>
            </w:r>
            <w:r w:rsidR="008434D6">
              <w:rPr>
                <w:sz w:val="24"/>
                <w:szCs w:val="24"/>
                <w:lang w:val="ro-RO"/>
              </w:rPr>
              <w:t xml:space="preserve"> consultative</w:t>
            </w:r>
            <w:r w:rsidRPr="009E28C2">
              <w:rPr>
                <w:sz w:val="24"/>
                <w:szCs w:val="24"/>
                <w:lang w:val="ro-RO"/>
              </w:rPr>
              <w:t xml:space="preserve"> cu mențiuni in procesele verbale de control ca</w:t>
            </w:r>
            <w:r w:rsidR="008434D6">
              <w:rPr>
                <w:sz w:val="24"/>
                <w:szCs w:val="24"/>
                <w:lang w:val="ro-RO"/>
              </w:rPr>
              <w:t xml:space="preserve"> </w:t>
            </w:r>
            <w:r w:rsidRPr="009E28C2">
              <w:rPr>
                <w:sz w:val="24"/>
                <w:szCs w:val="24"/>
                <w:lang w:val="ro-RO"/>
              </w:rPr>
              <w:t>,,recomandări” privind respectarea prevederilor actelor</w:t>
            </w:r>
            <w:r w:rsidR="008434D6">
              <w:rPr>
                <w:sz w:val="24"/>
                <w:szCs w:val="24"/>
                <w:lang w:val="ro-RO"/>
              </w:rPr>
              <w:t xml:space="preserve"> </w:t>
            </w:r>
            <w:r w:rsidRPr="009E28C2">
              <w:rPr>
                <w:sz w:val="24"/>
                <w:szCs w:val="24"/>
                <w:lang w:val="ro-RO"/>
              </w:rPr>
              <w:t>normative in vigoare în domeniul sănătății publice, pentru</w:t>
            </w:r>
            <w:r w:rsidR="008434D6">
              <w:rPr>
                <w:sz w:val="24"/>
                <w:szCs w:val="24"/>
                <w:lang w:val="ro-RO"/>
              </w:rPr>
              <w:t xml:space="preserve"> </w:t>
            </w:r>
            <w:r w:rsidRPr="009E28C2">
              <w:rPr>
                <w:sz w:val="24"/>
                <w:szCs w:val="24"/>
                <w:lang w:val="ro-RO"/>
              </w:rPr>
              <w:t xml:space="preserve">perioada similară an. 2023 </w:t>
            </w:r>
            <w:r w:rsidR="008434D6">
              <w:rPr>
                <w:sz w:val="24"/>
                <w:szCs w:val="24"/>
                <w:lang w:val="ro-RO"/>
              </w:rPr>
              <w:t>–</w:t>
            </w:r>
            <w:r w:rsidRPr="009E28C2">
              <w:rPr>
                <w:sz w:val="24"/>
                <w:szCs w:val="24"/>
                <w:lang w:val="ro-RO"/>
              </w:rPr>
              <w:t xml:space="preserve"> </w:t>
            </w:r>
            <w:r w:rsidR="008434D6">
              <w:rPr>
                <w:sz w:val="24"/>
                <w:szCs w:val="24"/>
                <w:lang w:val="ro-RO"/>
              </w:rPr>
              <w:t>494;</w:t>
            </w:r>
          </w:p>
          <w:p w:rsidR="00067FDF" w:rsidRPr="008434D6" w:rsidRDefault="009E28C2" w:rsidP="008434D6">
            <w:pPr>
              <w:ind w:firstLine="34"/>
              <w:rPr>
                <w:sz w:val="24"/>
                <w:szCs w:val="24"/>
                <w:lang w:val="ro-RO"/>
              </w:rPr>
            </w:pPr>
            <w:r w:rsidRPr="009E28C2">
              <w:rPr>
                <w:sz w:val="24"/>
                <w:szCs w:val="24"/>
                <w:lang w:val="ro-RO"/>
              </w:rPr>
              <w:t xml:space="preserve">- </w:t>
            </w:r>
            <w:r w:rsidR="008434D6">
              <w:rPr>
                <w:sz w:val="24"/>
                <w:szCs w:val="24"/>
                <w:lang w:val="ro-RO"/>
              </w:rPr>
              <w:t>156</w:t>
            </w:r>
            <w:r w:rsidRPr="009E28C2">
              <w:rPr>
                <w:sz w:val="24"/>
                <w:szCs w:val="24"/>
                <w:lang w:val="ro-RO"/>
              </w:rPr>
              <w:t xml:space="preserve"> răspunsuri în scris la solicitări parvenite, pentru</w:t>
            </w:r>
            <w:r w:rsidR="008434D6">
              <w:rPr>
                <w:sz w:val="24"/>
                <w:szCs w:val="24"/>
                <w:lang w:val="ro-RO"/>
              </w:rPr>
              <w:t xml:space="preserve"> </w:t>
            </w:r>
            <w:r w:rsidRPr="009E28C2">
              <w:rPr>
                <w:sz w:val="24"/>
                <w:szCs w:val="24"/>
                <w:lang w:val="ro-RO"/>
              </w:rPr>
              <w:t>perioada similară an. 2023</w:t>
            </w:r>
            <w:r w:rsidR="00A175D8">
              <w:rPr>
                <w:sz w:val="24"/>
                <w:szCs w:val="24"/>
                <w:lang w:val="ro-RO"/>
              </w:rPr>
              <w:t xml:space="preserve"> </w:t>
            </w:r>
            <w:r w:rsidRPr="009E28C2">
              <w:rPr>
                <w:sz w:val="24"/>
                <w:szCs w:val="24"/>
                <w:lang w:val="ro-RO"/>
              </w:rPr>
              <w:t xml:space="preserve">- </w:t>
            </w:r>
            <w:r w:rsidR="008434D6">
              <w:rPr>
                <w:sz w:val="24"/>
                <w:szCs w:val="24"/>
                <w:lang w:val="ro-RO"/>
              </w:rPr>
              <w:t>272</w:t>
            </w:r>
            <w:r w:rsidRPr="009E28C2">
              <w:rPr>
                <w:sz w:val="24"/>
                <w:szCs w:val="24"/>
                <w:lang w:val="ro-RO"/>
              </w:rPr>
              <w:t>.</w:t>
            </w:r>
          </w:p>
        </w:tc>
        <w:tc>
          <w:tcPr>
            <w:tcW w:w="2409" w:type="dxa"/>
          </w:tcPr>
          <w:p w:rsidR="00067FDF" w:rsidRPr="00A14152" w:rsidRDefault="00FE569F" w:rsidP="00224281">
            <w:pPr>
              <w:ind w:firstLine="0"/>
              <w:jc w:val="left"/>
              <w:rPr>
                <w:sz w:val="24"/>
                <w:szCs w:val="24"/>
                <w:lang w:val="ro-RO"/>
              </w:rPr>
            </w:pPr>
            <w:r w:rsidRPr="00717FAC">
              <w:rPr>
                <w:sz w:val="24"/>
                <w:szCs w:val="24"/>
                <w:lang w:val="ro-RO"/>
              </w:rPr>
              <w:t xml:space="preserve">În </w:t>
            </w:r>
            <w:r w:rsidR="00717FAC" w:rsidRPr="00717FAC">
              <w:rPr>
                <w:sz w:val="24"/>
                <w:szCs w:val="24"/>
                <w:lang w:val="ro-RO"/>
              </w:rPr>
              <w:t>perioada</w:t>
            </w:r>
            <w:r w:rsidRPr="00717FAC">
              <w:rPr>
                <w:sz w:val="24"/>
                <w:szCs w:val="24"/>
                <w:lang w:val="ro-RO"/>
              </w:rPr>
              <w:t xml:space="preserve"> de raportare</w:t>
            </w:r>
            <w:r w:rsidR="000B4ACA" w:rsidRPr="00717FAC">
              <w:rPr>
                <w:sz w:val="24"/>
                <w:szCs w:val="24"/>
                <w:lang w:val="ro-RO"/>
              </w:rPr>
              <w:t xml:space="preserve"> </w:t>
            </w:r>
            <w:r w:rsidR="000B4ACA">
              <w:rPr>
                <w:sz w:val="24"/>
                <w:szCs w:val="24"/>
                <w:lang w:val="ro-RO"/>
              </w:rPr>
              <w:t>activitățile</w:t>
            </w:r>
            <w:r w:rsidR="000B4ACA" w:rsidRPr="00717FAC">
              <w:rPr>
                <w:sz w:val="24"/>
                <w:szCs w:val="24"/>
                <w:lang w:val="ro-RO"/>
              </w:rPr>
              <w:t xml:space="preserve"> de consultare</w:t>
            </w:r>
            <w:r w:rsidR="000B4ACA">
              <w:rPr>
                <w:sz w:val="24"/>
                <w:szCs w:val="24"/>
                <w:lang w:val="ro-RO"/>
              </w:rPr>
              <w:t xml:space="preserve"> </w:t>
            </w:r>
            <w:r w:rsidR="00224281">
              <w:rPr>
                <w:sz w:val="24"/>
                <w:szCs w:val="24"/>
                <w:lang w:val="ro-RO"/>
              </w:rPr>
              <w:t>s-a</w:t>
            </w:r>
            <w:r w:rsidRPr="00717FAC">
              <w:rPr>
                <w:sz w:val="24"/>
                <w:szCs w:val="24"/>
                <w:lang w:val="ro-RO"/>
              </w:rPr>
              <w:t xml:space="preserve"> </w:t>
            </w:r>
            <w:r w:rsidR="000B4ACA">
              <w:rPr>
                <w:sz w:val="24"/>
                <w:szCs w:val="24"/>
                <w:lang w:val="ro-RO"/>
              </w:rPr>
              <w:t>mențin</w:t>
            </w:r>
            <w:r w:rsidR="00224281">
              <w:rPr>
                <w:sz w:val="24"/>
                <w:szCs w:val="24"/>
                <w:lang w:val="ro-RO"/>
              </w:rPr>
              <w:t>ut</w:t>
            </w:r>
            <w:r w:rsidR="000B4ACA">
              <w:rPr>
                <w:sz w:val="24"/>
                <w:szCs w:val="24"/>
                <w:lang w:val="ro-RO"/>
              </w:rPr>
              <w:t xml:space="preserve"> la acela</w:t>
            </w:r>
            <w:r w:rsidR="00224281">
              <w:rPr>
                <w:sz w:val="24"/>
                <w:szCs w:val="24"/>
                <w:lang w:val="ro-RO"/>
              </w:rPr>
              <w:t>ș</w:t>
            </w:r>
            <w:r w:rsidR="000B4ACA">
              <w:rPr>
                <w:sz w:val="24"/>
                <w:szCs w:val="24"/>
                <w:lang w:val="ro-RO"/>
              </w:rPr>
              <w:t>i nivel.</w:t>
            </w:r>
            <w:bookmarkStart w:id="0" w:name="_GoBack"/>
            <w:bookmarkEnd w:id="0"/>
          </w:p>
        </w:tc>
      </w:tr>
      <w:tr w:rsidR="000B3EC4" w:rsidRPr="006E2476" w:rsidTr="00FF4909">
        <w:trPr>
          <w:trHeight w:val="699"/>
        </w:trPr>
        <w:tc>
          <w:tcPr>
            <w:tcW w:w="2235" w:type="dxa"/>
          </w:tcPr>
          <w:p w:rsidR="000B3EC4" w:rsidRPr="00A14152" w:rsidRDefault="000B3EC4" w:rsidP="000B3EC4">
            <w:pPr>
              <w:ind w:firstLine="0"/>
              <w:jc w:val="left"/>
              <w:rPr>
                <w:sz w:val="24"/>
                <w:szCs w:val="24"/>
                <w:lang w:val="ro-RO"/>
              </w:rPr>
            </w:pPr>
            <w:r w:rsidRPr="00A14152">
              <w:rPr>
                <w:sz w:val="24"/>
                <w:szCs w:val="24"/>
                <w:lang w:val="ro-RO"/>
              </w:rPr>
              <w:t>Consolidarea capacităților instituționale de comunicare.</w:t>
            </w:r>
          </w:p>
        </w:tc>
        <w:tc>
          <w:tcPr>
            <w:tcW w:w="2550" w:type="dxa"/>
          </w:tcPr>
          <w:p w:rsidR="000B3EC4" w:rsidRPr="00A14152" w:rsidRDefault="000B3EC4" w:rsidP="000B3EC4">
            <w:pPr>
              <w:ind w:firstLine="0"/>
              <w:jc w:val="left"/>
              <w:rPr>
                <w:rFonts w:eastAsia="Calibri"/>
                <w:sz w:val="24"/>
                <w:szCs w:val="24"/>
                <w:lang w:val="ro-RO"/>
              </w:rPr>
            </w:pPr>
            <w:r w:rsidRPr="00A14152">
              <w:rPr>
                <w:rFonts w:eastAsia="Calibri"/>
                <w:bCs/>
                <w:sz w:val="24"/>
                <w:szCs w:val="24"/>
                <w:lang w:val="ro-RO"/>
              </w:rPr>
              <w:t>Activități de comunicare (</w:t>
            </w:r>
            <w:r w:rsidRPr="00A14152">
              <w:rPr>
                <w:rFonts w:eastAsia="Calibri"/>
                <w:sz w:val="24"/>
                <w:szCs w:val="24"/>
                <w:lang w:val="ro-RO"/>
              </w:rPr>
              <w:t>A.4.1.)</w:t>
            </w:r>
          </w:p>
        </w:tc>
        <w:tc>
          <w:tcPr>
            <w:tcW w:w="2411" w:type="dxa"/>
          </w:tcPr>
          <w:p w:rsidR="000B3EC4" w:rsidRPr="00A14152" w:rsidRDefault="008434D6" w:rsidP="008434D6">
            <w:pPr>
              <w:ind w:firstLine="0"/>
              <w:jc w:val="left"/>
              <w:rPr>
                <w:sz w:val="24"/>
                <w:szCs w:val="24"/>
                <w:lang w:val="ro-RO"/>
              </w:rPr>
            </w:pPr>
            <w:r w:rsidRPr="008434D6">
              <w:rPr>
                <w:sz w:val="24"/>
                <w:szCs w:val="24"/>
                <w:lang w:val="ro-RO"/>
              </w:rPr>
              <w:t>Creșterea numărului de</w:t>
            </w:r>
            <w:r>
              <w:rPr>
                <w:sz w:val="24"/>
                <w:szCs w:val="24"/>
                <w:lang w:val="ro-RO"/>
              </w:rPr>
              <w:t xml:space="preserve"> </w:t>
            </w:r>
            <w:r w:rsidRPr="008434D6">
              <w:rPr>
                <w:sz w:val="24"/>
                <w:szCs w:val="24"/>
                <w:lang w:val="ro-RO"/>
              </w:rPr>
              <w:t>vizualizări a postărilor,</w:t>
            </w:r>
            <w:r>
              <w:rPr>
                <w:sz w:val="24"/>
                <w:szCs w:val="24"/>
                <w:lang w:val="ro-RO"/>
              </w:rPr>
              <w:t xml:space="preserve"> </w:t>
            </w:r>
            <w:r w:rsidRPr="008434D6">
              <w:rPr>
                <w:sz w:val="24"/>
                <w:szCs w:val="24"/>
                <w:lang w:val="ro-RO"/>
              </w:rPr>
              <w:t>anunțurilor, comunicatelor</w:t>
            </w:r>
            <w:r>
              <w:rPr>
                <w:sz w:val="24"/>
                <w:szCs w:val="24"/>
                <w:lang w:val="ro-RO"/>
              </w:rPr>
              <w:t xml:space="preserve"> </w:t>
            </w:r>
            <w:r w:rsidRPr="008434D6">
              <w:rPr>
                <w:sz w:val="24"/>
                <w:szCs w:val="24"/>
                <w:lang w:val="ro-RO"/>
              </w:rPr>
              <w:t>etc. pe site-ul web oficial</w:t>
            </w:r>
            <w:r>
              <w:rPr>
                <w:sz w:val="24"/>
                <w:szCs w:val="24"/>
                <w:lang w:val="ro-RO"/>
              </w:rPr>
              <w:t xml:space="preserve"> </w:t>
            </w:r>
            <w:r w:rsidRPr="008434D6">
              <w:rPr>
                <w:sz w:val="24"/>
                <w:szCs w:val="24"/>
                <w:lang w:val="ro-RO"/>
              </w:rPr>
              <w:t>al organului de control și</w:t>
            </w:r>
            <w:r>
              <w:rPr>
                <w:sz w:val="24"/>
                <w:szCs w:val="24"/>
                <w:lang w:val="ro-RO"/>
              </w:rPr>
              <w:t xml:space="preserve"> </w:t>
            </w:r>
            <w:r w:rsidRPr="008434D6">
              <w:rPr>
                <w:sz w:val="24"/>
                <w:szCs w:val="24"/>
                <w:lang w:val="ro-RO"/>
              </w:rPr>
              <w:t>în rețelele de socializare</w:t>
            </w:r>
          </w:p>
        </w:tc>
        <w:tc>
          <w:tcPr>
            <w:tcW w:w="5812" w:type="dxa"/>
            <w:shd w:val="clear" w:color="auto" w:fill="auto"/>
          </w:tcPr>
          <w:p w:rsidR="000B3EC4" w:rsidRPr="00C4242F" w:rsidRDefault="000B3EC4" w:rsidP="00A175D8">
            <w:pPr>
              <w:ind w:firstLine="0"/>
              <w:jc w:val="left"/>
              <w:rPr>
                <w:sz w:val="24"/>
                <w:szCs w:val="24"/>
                <w:lang w:val="ro-RO"/>
              </w:rPr>
            </w:pPr>
            <w:r w:rsidRPr="00C4242F">
              <w:rPr>
                <w:sz w:val="24"/>
                <w:szCs w:val="24"/>
                <w:lang w:val="ro-RO"/>
              </w:rPr>
              <w:t>Pentru perioada de raportare, pe pagina oficială al ANSP, au fost publicate</w:t>
            </w:r>
            <w:r w:rsidR="00A175D8">
              <w:rPr>
                <w:sz w:val="24"/>
                <w:szCs w:val="24"/>
                <w:lang w:val="ro-RO"/>
              </w:rPr>
              <w:t xml:space="preserve"> 61 postări</w:t>
            </w:r>
            <w:r w:rsidRPr="00C4242F">
              <w:rPr>
                <w:sz w:val="24"/>
                <w:szCs w:val="24"/>
                <w:lang w:val="ro-RO"/>
              </w:rPr>
              <w:t xml:space="preserve"> </w:t>
            </w:r>
            <w:r w:rsidR="00A175D8">
              <w:rPr>
                <w:sz w:val="24"/>
                <w:szCs w:val="24"/>
                <w:lang w:val="ro-RO"/>
              </w:rPr>
              <w:t>(</w:t>
            </w:r>
            <w:r>
              <w:rPr>
                <w:sz w:val="24"/>
                <w:szCs w:val="24"/>
                <w:lang w:val="ro-RO"/>
              </w:rPr>
              <w:t>4</w:t>
            </w:r>
            <w:r w:rsidR="0086536F">
              <w:rPr>
                <w:sz w:val="24"/>
                <w:szCs w:val="24"/>
                <w:lang w:val="ro-RO"/>
              </w:rPr>
              <w:t>6</w:t>
            </w:r>
            <w:r>
              <w:rPr>
                <w:sz w:val="24"/>
                <w:szCs w:val="24"/>
                <w:lang w:val="ro-RO"/>
              </w:rPr>
              <w:t xml:space="preserve"> </w:t>
            </w:r>
            <w:r w:rsidRPr="00C4242F">
              <w:rPr>
                <w:sz w:val="24"/>
                <w:szCs w:val="24"/>
                <w:lang w:val="ro-RO"/>
              </w:rPr>
              <w:t xml:space="preserve">de comunicate și </w:t>
            </w:r>
            <w:r>
              <w:rPr>
                <w:sz w:val="24"/>
                <w:szCs w:val="24"/>
                <w:lang w:val="ro-RO"/>
              </w:rPr>
              <w:t>15</w:t>
            </w:r>
            <w:r w:rsidRPr="00C4242F">
              <w:rPr>
                <w:sz w:val="24"/>
                <w:szCs w:val="24"/>
                <w:lang w:val="ro-RO"/>
              </w:rPr>
              <w:t xml:space="preserve"> noutăți/anunțuri</w:t>
            </w:r>
            <w:r w:rsidR="00A175D8">
              <w:rPr>
                <w:sz w:val="24"/>
                <w:szCs w:val="24"/>
                <w:lang w:val="ro-RO"/>
              </w:rPr>
              <w:t>)</w:t>
            </w:r>
            <w:r w:rsidRPr="00C4242F">
              <w:rPr>
                <w:sz w:val="24"/>
                <w:szCs w:val="24"/>
                <w:lang w:val="ro-RO"/>
              </w:rPr>
              <w:t>;</w:t>
            </w:r>
          </w:p>
          <w:p w:rsidR="000B3EC4" w:rsidRPr="00C4242F" w:rsidRDefault="000B3EC4" w:rsidP="000B3EC4">
            <w:pPr>
              <w:ind w:firstLine="0"/>
              <w:jc w:val="left"/>
              <w:rPr>
                <w:sz w:val="24"/>
                <w:szCs w:val="24"/>
                <w:lang w:val="ro-RO"/>
              </w:rPr>
            </w:pPr>
            <w:r w:rsidRPr="00C4242F">
              <w:rPr>
                <w:sz w:val="24"/>
                <w:szCs w:val="24"/>
                <w:lang w:val="ro-RO"/>
              </w:rPr>
              <w:t xml:space="preserve">Pagina oficială </w:t>
            </w:r>
            <w:hyperlink r:id="rId5" w:history="1">
              <w:r w:rsidRPr="00C4242F">
                <w:rPr>
                  <w:rStyle w:val="a7"/>
                  <w:color w:val="auto"/>
                  <w:sz w:val="24"/>
                  <w:szCs w:val="24"/>
                  <w:lang w:val="ro-RO"/>
                </w:rPr>
                <w:t>www.ansp.md</w:t>
              </w:r>
            </w:hyperlink>
            <w:r w:rsidRPr="00C4242F">
              <w:rPr>
                <w:sz w:val="24"/>
                <w:szCs w:val="24"/>
                <w:lang w:val="ro-RO"/>
              </w:rPr>
              <w:t xml:space="preserve"> a fost vizualizată de peste 50 vizitatori pe zi in perioada de raportare;</w:t>
            </w:r>
          </w:p>
          <w:p w:rsidR="000B3EC4" w:rsidRPr="00C4242F" w:rsidRDefault="000B3EC4" w:rsidP="0086536F">
            <w:pPr>
              <w:ind w:firstLine="0"/>
              <w:jc w:val="left"/>
              <w:rPr>
                <w:sz w:val="24"/>
                <w:szCs w:val="24"/>
                <w:lang w:val="ro-RO"/>
              </w:rPr>
            </w:pPr>
            <w:r w:rsidRPr="00C4242F">
              <w:rPr>
                <w:sz w:val="24"/>
                <w:szCs w:val="24"/>
                <w:lang w:val="ro-RO"/>
              </w:rPr>
              <w:t xml:space="preserve">Numărul de urmăritori a rețelelor de socializare – </w:t>
            </w:r>
            <w:r w:rsidR="0086536F">
              <w:rPr>
                <w:sz w:val="24"/>
                <w:szCs w:val="24"/>
                <w:lang w:val="ro-RO"/>
              </w:rPr>
              <w:t>4500</w:t>
            </w:r>
            <w:r w:rsidRPr="00C4242F">
              <w:rPr>
                <w:sz w:val="24"/>
                <w:szCs w:val="24"/>
                <w:lang w:val="ro-RO"/>
              </w:rPr>
              <w:t>;</w:t>
            </w:r>
          </w:p>
          <w:p w:rsidR="000B3EC4" w:rsidRDefault="000B3EC4" w:rsidP="0086536F">
            <w:pPr>
              <w:ind w:firstLine="0"/>
              <w:jc w:val="left"/>
              <w:rPr>
                <w:sz w:val="24"/>
                <w:szCs w:val="24"/>
                <w:lang w:val="ro-RO"/>
              </w:rPr>
            </w:pPr>
            <w:r w:rsidRPr="00C4242F">
              <w:rPr>
                <w:sz w:val="24"/>
                <w:szCs w:val="24"/>
                <w:lang w:val="ro-RO"/>
              </w:rPr>
              <w:t xml:space="preserve">Numărul aprecieri a rețelelor de socializare – </w:t>
            </w:r>
            <w:r>
              <w:rPr>
                <w:sz w:val="24"/>
                <w:szCs w:val="24"/>
                <w:lang w:val="ro-RO"/>
              </w:rPr>
              <w:t>1</w:t>
            </w:r>
            <w:r w:rsidR="0086536F">
              <w:rPr>
                <w:sz w:val="24"/>
                <w:szCs w:val="24"/>
                <w:lang w:val="ro-RO"/>
              </w:rPr>
              <w:t>500</w:t>
            </w:r>
            <w:r w:rsidRPr="00C4242F">
              <w:rPr>
                <w:sz w:val="24"/>
                <w:szCs w:val="24"/>
                <w:lang w:val="ro-RO"/>
              </w:rPr>
              <w:t>.</w:t>
            </w:r>
          </w:p>
          <w:p w:rsidR="000B3EC4" w:rsidRDefault="000B3EC4" w:rsidP="000B3EC4">
            <w:pPr>
              <w:ind w:firstLine="0"/>
              <w:jc w:val="left"/>
              <w:rPr>
                <w:sz w:val="24"/>
                <w:szCs w:val="24"/>
                <w:lang w:val="ro-RO"/>
              </w:rPr>
            </w:pPr>
          </w:p>
          <w:p w:rsidR="000B3EC4" w:rsidRPr="00A14152" w:rsidRDefault="000B3EC4" w:rsidP="008434D6">
            <w:pPr>
              <w:ind w:firstLine="0"/>
              <w:jc w:val="left"/>
              <w:rPr>
                <w:sz w:val="24"/>
                <w:szCs w:val="24"/>
                <w:lang w:val="ro-RO"/>
              </w:rPr>
            </w:pPr>
            <w:r w:rsidRPr="00200FF2">
              <w:rPr>
                <w:sz w:val="24"/>
                <w:szCs w:val="24"/>
                <w:lang w:val="ro-RO"/>
              </w:rPr>
              <w:lastRenderedPageBreak/>
              <w:t xml:space="preserve">Pentru perioada similară al anului </w:t>
            </w:r>
            <w:r>
              <w:rPr>
                <w:sz w:val="24"/>
                <w:szCs w:val="24"/>
                <w:lang w:val="ro-RO"/>
              </w:rPr>
              <w:t>202</w:t>
            </w:r>
            <w:r w:rsidR="008434D6">
              <w:rPr>
                <w:sz w:val="24"/>
                <w:szCs w:val="24"/>
                <w:lang w:val="ro-RO"/>
              </w:rPr>
              <w:t>3</w:t>
            </w:r>
            <w:r>
              <w:rPr>
                <w:sz w:val="24"/>
                <w:szCs w:val="24"/>
                <w:lang w:val="ro-RO"/>
              </w:rPr>
              <w:t xml:space="preserve"> </w:t>
            </w:r>
            <w:r w:rsidRPr="00A14152">
              <w:rPr>
                <w:sz w:val="24"/>
                <w:szCs w:val="24"/>
                <w:lang w:val="ro-RO"/>
              </w:rPr>
              <w:t>pe pagina oficială al ANSP, au fost publicate</w:t>
            </w:r>
            <w:r w:rsidR="008434D6">
              <w:rPr>
                <w:sz w:val="24"/>
                <w:szCs w:val="24"/>
                <w:lang w:val="ro-RO"/>
              </w:rPr>
              <w:t xml:space="preserve"> 58 postări (43</w:t>
            </w:r>
            <w:r>
              <w:rPr>
                <w:sz w:val="24"/>
                <w:szCs w:val="24"/>
                <w:lang w:val="ro-RO"/>
              </w:rPr>
              <w:t xml:space="preserve"> </w:t>
            </w:r>
            <w:r w:rsidRPr="00A14152">
              <w:rPr>
                <w:sz w:val="24"/>
                <w:szCs w:val="24"/>
                <w:lang w:val="ro-RO"/>
              </w:rPr>
              <w:t xml:space="preserve">de comunicate </w:t>
            </w:r>
            <w:r w:rsidR="008434D6">
              <w:rPr>
                <w:sz w:val="24"/>
                <w:szCs w:val="24"/>
                <w:lang w:val="ro-RO"/>
              </w:rPr>
              <w:t>și 15</w:t>
            </w:r>
            <w:r>
              <w:rPr>
                <w:sz w:val="24"/>
                <w:szCs w:val="24"/>
                <w:lang w:val="ro-RO"/>
              </w:rPr>
              <w:t xml:space="preserve"> noutăți/anunțuri);</w:t>
            </w:r>
          </w:p>
          <w:p w:rsidR="000B3EC4" w:rsidRPr="00FE569F" w:rsidRDefault="000B3EC4" w:rsidP="000B3EC4">
            <w:pPr>
              <w:ind w:firstLine="0"/>
              <w:jc w:val="left"/>
              <w:rPr>
                <w:sz w:val="24"/>
                <w:szCs w:val="24"/>
                <w:lang w:val="ro-RO"/>
              </w:rPr>
            </w:pPr>
            <w:r w:rsidRPr="00A14152">
              <w:rPr>
                <w:sz w:val="24"/>
                <w:szCs w:val="24"/>
                <w:lang w:val="ro-RO"/>
              </w:rPr>
              <w:t>P</w:t>
            </w:r>
            <w:r w:rsidRPr="00FE569F">
              <w:rPr>
                <w:sz w:val="24"/>
                <w:szCs w:val="24"/>
                <w:lang w:val="ro-RO"/>
              </w:rPr>
              <w:t xml:space="preserve">agina oficială </w:t>
            </w:r>
            <w:hyperlink r:id="rId6" w:history="1">
              <w:r w:rsidRPr="00FE569F">
                <w:rPr>
                  <w:rStyle w:val="a7"/>
                  <w:color w:val="auto"/>
                  <w:sz w:val="24"/>
                  <w:szCs w:val="24"/>
                  <w:lang w:val="ro-RO"/>
                </w:rPr>
                <w:t>www.ansp.md</w:t>
              </w:r>
            </w:hyperlink>
            <w:r w:rsidRPr="00FE569F">
              <w:rPr>
                <w:sz w:val="24"/>
                <w:szCs w:val="24"/>
                <w:lang w:val="ro-RO"/>
              </w:rPr>
              <w:t xml:space="preserve"> a fost vizualizată de peste 50 vizitatori pe zi in perioada de raportare;</w:t>
            </w:r>
          </w:p>
          <w:p w:rsidR="000B3EC4" w:rsidRPr="001045AA" w:rsidRDefault="000B3EC4" w:rsidP="000B3EC4">
            <w:pPr>
              <w:ind w:firstLine="0"/>
              <w:jc w:val="left"/>
              <w:rPr>
                <w:sz w:val="24"/>
                <w:szCs w:val="24"/>
                <w:lang w:val="ro-RO"/>
              </w:rPr>
            </w:pPr>
            <w:r w:rsidRPr="001045AA">
              <w:rPr>
                <w:sz w:val="24"/>
                <w:szCs w:val="24"/>
                <w:lang w:val="ro-RO"/>
              </w:rPr>
              <w:t xml:space="preserve">Numărul de urmăritori a rețelelor de socializare – </w:t>
            </w:r>
            <w:r w:rsidR="0086536F">
              <w:rPr>
                <w:sz w:val="24"/>
                <w:szCs w:val="24"/>
                <w:lang w:val="ro-RO"/>
              </w:rPr>
              <w:t>3550</w:t>
            </w:r>
            <w:r w:rsidRPr="001045AA">
              <w:rPr>
                <w:sz w:val="24"/>
                <w:szCs w:val="24"/>
                <w:lang w:val="ro-RO"/>
              </w:rPr>
              <w:t>;</w:t>
            </w:r>
          </w:p>
          <w:p w:rsidR="000B3EC4" w:rsidRPr="00C4242F" w:rsidRDefault="000B3EC4" w:rsidP="00A175D8">
            <w:pPr>
              <w:ind w:firstLine="0"/>
              <w:jc w:val="left"/>
              <w:rPr>
                <w:sz w:val="24"/>
                <w:szCs w:val="24"/>
                <w:lang w:val="ro-RO"/>
              </w:rPr>
            </w:pPr>
            <w:r w:rsidRPr="001045AA">
              <w:rPr>
                <w:sz w:val="24"/>
                <w:szCs w:val="24"/>
                <w:lang w:val="ro-RO"/>
              </w:rPr>
              <w:t xml:space="preserve">Numărul aprecieri a rețelelor de socializare – </w:t>
            </w:r>
            <w:r w:rsidR="0086536F">
              <w:rPr>
                <w:sz w:val="24"/>
                <w:szCs w:val="24"/>
                <w:lang w:val="ro-RO"/>
              </w:rPr>
              <w:t>1350</w:t>
            </w:r>
            <w:r w:rsidRPr="001045AA">
              <w:rPr>
                <w:sz w:val="24"/>
                <w:szCs w:val="24"/>
                <w:lang w:val="ro-RO"/>
              </w:rPr>
              <w:t>.</w:t>
            </w:r>
          </w:p>
        </w:tc>
        <w:tc>
          <w:tcPr>
            <w:tcW w:w="2409" w:type="dxa"/>
          </w:tcPr>
          <w:p w:rsidR="000B3EC4" w:rsidRPr="00A14152" w:rsidRDefault="000B3EC4" w:rsidP="000B3EC4">
            <w:pPr>
              <w:ind w:firstLine="0"/>
              <w:jc w:val="left"/>
              <w:rPr>
                <w:sz w:val="24"/>
                <w:szCs w:val="24"/>
                <w:lang w:val="ro-RO"/>
              </w:rPr>
            </w:pPr>
            <w:r w:rsidRPr="00FE569F">
              <w:rPr>
                <w:sz w:val="24"/>
                <w:szCs w:val="24"/>
                <w:lang w:val="ro-RO"/>
              </w:rPr>
              <w:lastRenderedPageBreak/>
              <w:t>Se atestă creștere a activităților de comunicare.</w:t>
            </w:r>
          </w:p>
        </w:tc>
      </w:tr>
    </w:tbl>
    <w:p w:rsidR="004A664D" w:rsidRDefault="004A664D" w:rsidP="00455099">
      <w:pPr>
        <w:spacing w:line="360" w:lineRule="auto"/>
        <w:ind w:firstLine="0"/>
        <w:rPr>
          <w:b/>
          <w:sz w:val="28"/>
          <w:szCs w:val="28"/>
        </w:rPr>
      </w:pPr>
    </w:p>
    <w:p w:rsidR="000B3EC4" w:rsidRPr="004A664D" w:rsidRDefault="000B3EC4" w:rsidP="00455099">
      <w:pPr>
        <w:spacing w:line="360" w:lineRule="auto"/>
        <w:ind w:firstLine="0"/>
        <w:rPr>
          <w:b/>
          <w:sz w:val="28"/>
          <w:szCs w:val="28"/>
        </w:rPr>
      </w:pPr>
    </w:p>
    <w:sectPr w:rsidR="000B3EC4" w:rsidRPr="004A664D" w:rsidSect="0011664B">
      <w:pgSz w:w="16838" w:h="11906" w:orient="landscape"/>
      <w:pgMar w:top="850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A735C"/>
    <w:multiLevelType w:val="hybridMultilevel"/>
    <w:tmpl w:val="EA008F84"/>
    <w:lvl w:ilvl="0" w:tplc="8FE85CB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A479DA"/>
    <w:multiLevelType w:val="hybridMultilevel"/>
    <w:tmpl w:val="2DD0F5D6"/>
    <w:lvl w:ilvl="0" w:tplc="EFDEAE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9E298C"/>
    <w:multiLevelType w:val="hybridMultilevel"/>
    <w:tmpl w:val="B4E2C3A6"/>
    <w:lvl w:ilvl="0" w:tplc="FFE45E64">
      <w:start w:val="1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208"/>
    <w:rsid w:val="00007EEF"/>
    <w:rsid w:val="000139DA"/>
    <w:rsid w:val="000166BF"/>
    <w:rsid w:val="00024C5E"/>
    <w:rsid w:val="00052B16"/>
    <w:rsid w:val="000621C3"/>
    <w:rsid w:val="00062965"/>
    <w:rsid w:val="0006664F"/>
    <w:rsid w:val="00066B45"/>
    <w:rsid w:val="00067FDF"/>
    <w:rsid w:val="00086C23"/>
    <w:rsid w:val="00096606"/>
    <w:rsid w:val="000B3EC4"/>
    <w:rsid w:val="000B4ACA"/>
    <w:rsid w:val="000F1877"/>
    <w:rsid w:val="001045AA"/>
    <w:rsid w:val="0011664B"/>
    <w:rsid w:val="00123EAA"/>
    <w:rsid w:val="0012522D"/>
    <w:rsid w:val="00154B34"/>
    <w:rsid w:val="00154B9C"/>
    <w:rsid w:val="001604AF"/>
    <w:rsid w:val="00194872"/>
    <w:rsid w:val="001B4EC4"/>
    <w:rsid w:val="001B5EC4"/>
    <w:rsid w:val="001C0BFF"/>
    <w:rsid w:val="001D18E1"/>
    <w:rsid w:val="001D3B38"/>
    <w:rsid w:val="001E671A"/>
    <w:rsid w:val="00200FF2"/>
    <w:rsid w:val="00224281"/>
    <w:rsid w:val="00242B40"/>
    <w:rsid w:val="00247980"/>
    <w:rsid w:val="00264992"/>
    <w:rsid w:val="002C3347"/>
    <w:rsid w:val="002F6851"/>
    <w:rsid w:val="00300139"/>
    <w:rsid w:val="00307CF1"/>
    <w:rsid w:val="0032286C"/>
    <w:rsid w:val="003747D2"/>
    <w:rsid w:val="003E48D3"/>
    <w:rsid w:val="003F0063"/>
    <w:rsid w:val="0041274F"/>
    <w:rsid w:val="004331F8"/>
    <w:rsid w:val="00437747"/>
    <w:rsid w:val="00454E4C"/>
    <w:rsid w:val="00455099"/>
    <w:rsid w:val="004725BA"/>
    <w:rsid w:val="004A664D"/>
    <w:rsid w:val="004B5D08"/>
    <w:rsid w:val="004C12D6"/>
    <w:rsid w:val="004D4E49"/>
    <w:rsid w:val="004D6408"/>
    <w:rsid w:val="004E5C3B"/>
    <w:rsid w:val="00503140"/>
    <w:rsid w:val="00516A7F"/>
    <w:rsid w:val="005222B5"/>
    <w:rsid w:val="00544AB8"/>
    <w:rsid w:val="005464D6"/>
    <w:rsid w:val="00546F5C"/>
    <w:rsid w:val="005716C4"/>
    <w:rsid w:val="005C4446"/>
    <w:rsid w:val="005D2D59"/>
    <w:rsid w:val="00604E2B"/>
    <w:rsid w:val="006138F2"/>
    <w:rsid w:val="006754E8"/>
    <w:rsid w:val="0067703E"/>
    <w:rsid w:val="006948BF"/>
    <w:rsid w:val="006C35DF"/>
    <w:rsid w:val="006E2476"/>
    <w:rsid w:val="006E520D"/>
    <w:rsid w:val="006F3DA7"/>
    <w:rsid w:val="007030F4"/>
    <w:rsid w:val="00717FAC"/>
    <w:rsid w:val="00740459"/>
    <w:rsid w:val="00755E4A"/>
    <w:rsid w:val="00786A49"/>
    <w:rsid w:val="007E60AD"/>
    <w:rsid w:val="00827474"/>
    <w:rsid w:val="00840281"/>
    <w:rsid w:val="008434D6"/>
    <w:rsid w:val="0086536F"/>
    <w:rsid w:val="00883AAC"/>
    <w:rsid w:val="008A1878"/>
    <w:rsid w:val="008C3659"/>
    <w:rsid w:val="008D462C"/>
    <w:rsid w:val="008F1BB0"/>
    <w:rsid w:val="008F2E9B"/>
    <w:rsid w:val="00907BE1"/>
    <w:rsid w:val="009138C1"/>
    <w:rsid w:val="0091562B"/>
    <w:rsid w:val="00921558"/>
    <w:rsid w:val="00923AEC"/>
    <w:rsid w:val="0092721F"/>
    <w:rsid w:val="0095190F"/>
    <w:rsid w:val="00953C90"/>
    <w:rsid w:val="00956395"/>
    <w:rsid w:val="009C5A37"/>
    <w:rsid w:val="009C7208"/>
    <w:rsid w:val="009D2056"/>
    <w:rsid w:val="009E1ECD"/>
    <w:rsid w:val="009E28C2"/>
    <w:rsid w:val="009F01D6"/>
    <w:rsid w:val="009F38C5"/>
    <w:rsid w:val="00A109A6"/>
    <w:rsid w:val="00A14152"/>
    <w:rsid w:val="00A175D8"/>
    <w:rsid w:val="00A25A26"/>
    <w:rsid w:val="00A323A6"/>
    <w:rsid w:val="00A36923"/>
    <w:rsid w:val="00A57E7C"/>
    <w:rsid w:val="00A77AA1"/>
    <w:rsid w:val="00AA12B6"/>
    <w:rsid w:val="00AB3273"/>
    <w:rsid w:val="00AB6E4C"/>
    <w:rsid w:val="00AE18EB"/>
    <w:rsid w:val="00AF4A92"/>
    <w:rsid w:val="00B2532C"/>
    <w:rsid w:val="00B301C7"/>
    <w:rsid w:val="00B403A6"/>
    <w:rsid w:val="00B556B8"/>
    <w:rsid w:val="00B57DFA"/>
    <w:rsid w:val="00B66BB4"/>
    <w:rsid w:val="00B907C2"/>
    <w:rsid w:val="00B92575"/>
    <w:rsid w:val="00BB581F"/>
    <w:rsid w:val="00BF6203"/>
    <w:rsid w:val="00C03180"/>
    <w:rsid w:val="00C0365E"/>
    <w:rsid w:val="00C264B3"/>
    <w:rsid w:val="00C36DF6"/>
    <w:rsid w:val="00C621EE"/>
    <w:rsid w:val="00C92959"/>
    <w:rsid w:val="00CA05FF"/>
    <w:rsid w:val="00CB09DB"/>
    <w:rsid w:val="00CB565F"/>
    <w:rsid w:val="00CE257C"/>
    <w:rsid w:val="00CF5686"/>
    <w:rsid w:val="00D23EAF"/>
    <w:rsid w:val="00D47755"/>
    <w:rsid w:val="00D54990"/>
    <w:rsid w:val="00D67B5F"/>
    <w:rsid w:val="00D765B4"/>
    <w:rsid w:val="00D942FA"/>
    <w:rsid w:val="00DA51C8"/>
    <w:rsid w:val="00DC3B8C"/>
    <w:rsid w:val="00DD2B4E"/>
    <w:rsid w:val="00DF266A"/>
    <w:rsid w:val="00E175AE"/>
    <w:rsid w:val="00E20397"/>
    <w:rsid w:val="00E77DCD"/>
    <w:rsid w:val="00E91171"/>
    <w:rsid w:val="00E93EF9"/>
    <w:rsid w:val="00EA505D"/>
    <w:rsid w:val="00EB0D16"/>
    <w:rsid w:val="00EF004A"/>
    <w:rsid w:val="00F26135"/>
    <w:rsid w:val="00F346F9"/>
    <w:rsid w:val="00F45CA7"/>
    <w:rsid w:val="00F73436"/>
    <w:rsid w:val="00F77C79"/>
    <w:rsid w:val="00F87695"/>
    <w:rsid w:val="00F96DAC"/>
    <w:rsid w:val="00FD5A91"/>
    <w:rsid w:val="00FE2B54"/>
    <w:rsid w:val="00FE569F"/>
    <w:rsid w:val="00FF20B7"/>
    <w:rsid w:val="00FF4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B8826"/>
  <w15:docId w15:val="{A54284A7-BCF6-4EE7-B5DA-C5A8E9324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28C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uiPriority w:val="59"/>
    <w:rsid w:val="009C7208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9C72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36D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2532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532C"/>
    <w:rPr>
      <w:rFonts w:ascii="Tahoma" w:eastAsia="Times New Roman" w:hAnsi="Tahoma" w:cs="Tahoma"/>
      <w:sz w:val="16"/>
      <w:szCs w:val="16"/>
      <w:lang w:val="en-US"/>
    </w:rPr>
  </w:style>
  <w:style w:type="paragraph" w:styleId="a6">
    <w:name w:val="List Paragraph"/>
    <w:basedOn w:val="a"/>
    <w:uiPriority w:val="34"/>
    <w:qFormat/>
    <w:rsid w:val="00FD5A91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FD5A91"/>
    <w:rPr>
      <w:color w:val="0000FF" w:themeColor="hyperlink"/>
      <w:u w:val="single"/>
    </w:rPr>
  </w:style>
  <w:style w:type="character" w:styleId="a8">
    <w:name w:val="Strong"/>
    <w:basedOn w:val="a0"/>
    <w:uiPriority w:val="22"/>
    <w:qFormat/>
    <w:rsid w:val="00923A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nsp.md" TargetMode="External"/><Relationship Id="rId5" Type="http://schemas.openxmlformats.org/officeDocument/2006/relationships/hyperlink" Target="http://www.ansp.m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384</Words>
  <Characters>2195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Spinu™</dc:creator>
  <cp:lastModifiedBy>Magik Cristal</cp:lastModifiedBy>
  <cp:revision>5</cp:revision>
  <cp:lastPrinted>2021-10-18T08:13:00Z</cp:lastPrinted>
  <dcterms:created xsi:type="dcterms:W3CDTF">2025-01-13T18:36:00Z</dcterms:created>
  <dcterms:modified xsi:type="dcterms:W3CDTF">2025-01-16T09:38:00Z</dcterms:modified>
</cp:coreProperties>
</file>