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4CD" w:rsidRPr="00603D5E" w:rsidRDefault="006824CD" w:rsidP="00A76EDC">
      <w:pPr>
        <w:shd w:val="clear" w:color="auto" w:fill="FCFCFC"/>
        <w:spacing w:after="0" w:line="375" w:lineRule="atLeast"/>
        <w:jc w:val="center"/>
        <w:outlineLvl w:val="0"/>
        <w:rPr>
          <w:rFonts w:ascii="Times New Roman" w:eastAsia="Times New Roman" w:hAnsi="Times New Roman" w:cs="Times New Roman"/>
          <w:b/>
          <w:color w:val="222222"/>
          <w:kern w:val="36"/>
          <w:sz w:val="32"/>
          <w:szCs w:val="32"/>
          <w:lang w:val="ro-RO" w:eastAsia="ru-RU"/>
        </w:rPr>
      </w:pPr>
      <w:r w:rsidRPr="00603D5E">
        <w:rPr>
          <w:rFonts w:ascii="Times New Roman" w:eastAsia="Times New Roman" w:hAnsi="Times New Roman" w:cs="Times New Roman"/>
          <w:b/>
          <w:color w:val="222222"/>
          <w:kern w:val="36"/>
          <w:sz w:val="32"/>
          <w:szCs w:val="32"/>
          <w:lang w:val="ro-RO" w:eastAsia="ru-RU"/>
        </w:rPr>
        <w:t xml:space="preserve">Activitățile de bază desfășurate în domeniul controlului de stat </w:t>
      </w:r>
    </w:p>
    <w:p w:rsidR="00CC6C10" w:rsidRPr="00CC6C10" w:rsidRDefault="006824CD" w:rsidP="00CC6C10">
      <w:pPr>
        <w:shd w:val="clear" w:color="auto" w:fill="FCFCFC"/>
        <w:spacing w:after="0" w:line="375" w:lineRule="atLeast"/>
        <w:jc w:val="center"/>
        <w:outlineLvl w:val="0"/>
        <w:rPr>
          <w:rFonts w:ascii="Times New Roman" w:eastAsia="Times New Roman" w:hAnsi="Times New Roman" w:cs="Times New Roman"/>
          <w:b/>
          <w:kern w:val="36"/>
          <w:sz w:val="32"/>
          <w:szCs w:val="32"/>
          <w:lang w:val="ro-RO" w:eastAsia="ru-RU"/>
        </w:rPr>
      </w:pPr>
      <w:r w:rsidRPr="005B1464">
        <w:rPr>
          <w:rFonts w:ascii="Times New Roman" w:eastAsia="Times New Roman" w:hAnsi="Times New Roman" w:cs="Times New Roman"/>
          <w:b/>
          <w:kern w:val="36"/>
          <w:sz w:val="32"/>
          <w:szCs w:val="32"/>
          <w:lang w:val="ro-RO" w:eastAsia="ru-RU"/>
        </w:rPr>
        <w:t xml:space="preserve">în sănătate publică pentru trimestrul </w:t>
      </w:r>
      <w:r w:rsidR="00720360" w:rsidRPr="005B1464">
        <w:rPr>
          <w:rFonts w:ascii="Times New Roman" w:eastAsia="Times New Roman" w:hAnsi="Times New Roman" w:cs="Times New Roman"/>
          <w:b/>
          <w:kern w:val="36"/>
          <w:sz w:val="32"/>
          <w:szCs w:val="32"/>
          <w:lang w:val="ro-RO" w:eastAsia="ru-RU"/>
        </w:rPr>
        <w:t>I</w:t>
      </w:r>
      <w:r w:rsidR="00337ECF">
        <w:rPr>
          <w:rFonts w:ascii="Times New Roman" w:eastAsia="Times New Roman" w:hAnsi="Times New Roman" w:cs="Times New Roman"/>
          <w:b/>
          <w:kern w:val="36"/>
          <w:sz w:val="32"/>
          <w:szCs w:val="32"/>
          <w:lang w:val="ro-RO" w:eastAsia="ru-RU"/>
        </w:rPr>
        <w:t>V</w:t>
      </w:r>
      <w:r w:rsidR="00B73DED" w:rsidRPr="005B1464">
        <w:rPr>
          <w:rFonts w:ascii="Times New Roman" w:eastAsia="Times New Roman" w:hAnsi="Times New Roman" w:cs="Times New Roman"/>
          <w:b/>
          <w:kern w:val="36"/>
          <w:sz w:val="32"/>
          <w:szCs w:val="32"/>
          <w:lang w:val="ro-RO" w:eastAsia="ru-RU"/>
        </w:rPr>
        <w:t xml:space="preserve"> al anului 202</w:t>
      </w:r>
      <w:r w:rsidR="00400595">
        <w:rPr>
          <w:rFonts w:ascii="Times New Roman" w:eastAsia="Times New Roman" w:hAnsi="Times New Roman" w:cs="Times New Roman"/>
          <w:b/>
          <w:kern w:val="36"/>
          <w:sz w:val="32"/>
          <w:szCs w:val="32"/>
          <w:lang w:val="ro-RO" w:eastAsia="ru-RU"/>
        </w:rPr>
        <w:t>4</w:t>
      </w:r>
    </w:p>
    <w:p w:rsidR="00CC6C10" w:rsidRPr="00CC6C10" w:rsidRDefault="00CC6C10" w:rsidP="00CC6C10">
      <w:pPr>
        <w:ind w:firstLine="567"/>
        <w:jc w:val="both"/>
        <w:rPr>
          <w:sz w:val="28"/>
          <w:szCs w:val="28"/>
          <w:lang w:val="en-US"/>
        </w:rPr>
      </w:pPr>
    </w:p>
    <w:p w:rsidR="00CC6C10" w:rsidRPr="00CC6C10" w:rsidRDefault="00CC6C10" w:rsidP="00CC6C10">
      <w:pPr>
        <w:spacing w:after="0" w:line="240" w:lineRule="auto"/>
        <w:ind w:firstLine="567"/>
        <w:jc w:val="both"/>
        <w:rPr>
          <w:rFonts w:asciiTheme="majorBidi" w:hAnsiTheme="majorBidi" w:cstheme="majorBidi"/>
          <w:sz w:val="28"/>
          <w:szCs w:val="28"/>
          <w:lang w:val="en-US"/>
        </w:rPr>
      </w:pPr>
      <w:r w:rsidRPr="00CC6C10">
        <w:rPr>
          <w:rFonts w:asciiTheme="majorBidi" w:hAnsiTheme="majorBidi" w:cstheme="majorBidi"/>
          <w:sz w:val="28"/>
          <w:szCs w:val="28"/>
          <w:lang w:val="en-US"/>
        </w:rPr>
        <w:t>Pe parcursul trimestrului IV al anului 2024, conform Planului grafic a controalelor aprobat prin ordinul ANSP nr. 194 din 17.11.2023, de către specialiștii Agenției Naționale pentru Sănătate Publică (ANSP) abilitați cu drept de control în sănătate publică urma să fie realizate 873 controale de stat, inclusiv 412 controale asupra activității de întreprinzător și 461 controale asupra instituțiilor publice.</w:t>
      </w:r>
    </w:p>
    <w:p w:rsidR="00CC6C10" w:rsidRPr="00CC6C10" w:rsidRDefault="00CC6C10" w:rsidP="00CC6C10">
      <w:pPr>
        <w:spacing w:after="0" w:line="240" w:lineRule="auto"/>
        <w:jc w:val="both"/>
        <w:rPr>
          <w:rFonts w:asciiTheme="majorBidi" w:hAnsiTheme="majorBidi" w:cstheme="majorBidi"/>
          <w:sz w:val="28"/>
          <w:szCs w:val="28"/>
          <w:lang w:val="en-US"/>
        </w:rPr>
      </w:pPr>
      <w:r w:rsidRPr="00CC6C10">
        <w:rPr>
          <w:rFonts w:asciiTheme="majorBidi" w:hAnsiTheme="majorBidi" w:cstheme="majorBidi"/>
          <w:sz w:val="28"/>
          <w:szCs w:val="28"/>
          <w:lang w:val="en-US"/>
        </w:rPr>
        <w:t xml:space="preserve">Conform datelor raportate de către Centrele de Sănătate Publică teritoriale au fost inițiate în modul stabilit de legislație 842 controale planificate, inclusiv 382 controale asupra activității de întreprinzător și 460 controale privind activitatea instituțiilor publice. </w:t>
      </w:r>
    </w:p>
    <w:p w:rsidR="00CC6C10" w:rsidRPr="00CC6C10" w:rsidRDefault="00CC6C10" w:rsidP="00CC6C10">
      <w:pPr>
        <w:spacing w:after="0" w:line="240" w:lineRule="auto"/>
        <w:ind w:firstLine="567"/>
        <w:jc w:val="both"/>
        <w:rPr>
          <w:rFonts w:asciiTheme="majorBidi" w:hAnsiTheme="majorBidi" w:cstheme="majorBidi"/>
          <w:sz w:val="28"/>
          <w:szCs w:val="28"/>
          <w:lang w:val="en-US"/>
        </w:rPr>
      </w:pPr>
      <w:r w:rsidRPr="00CC6C10">
        <w:rPr>
          <w:rFonts w:asciiTheme="majorBidi" w:hAnsiTheme="majorBidi" w:cstheme="majorBidi"/>
          <w:sz w:val="28"/>
          <w:szCs w:val="28"/>
          <w:lang w:val="en-US"/>
        </w:rPr>
        <w:t xml:space="preserve">Restanță majora pentru inițierea tuturor obiectelor planificate pentru control de stat în trim. IV a. 2024 a servit operarea modificărilor la actele legislative prin Legea nr. 216/2023 pentru modificarea unor acte normative (optimizarea activității Agenției Naționale pentru Sănătate Publică), și anume prin excluderea competențelor ANSP pentru domeniile de control: circulaţiei medicamentelor, produselor parafarmaceutice, al dispozitivelor medicale în conformitate cu Legea nr. 1456-XII din 25 mai 1993 cu privire la activitatea farmaceutică și circulaţiei legale a substanţelor stupefiante, psihotrope şi a precursorilor, precum și controlul activităţii titularilor de autorizaţie/licenţă legate de circulaţia substanţelor stupefiante, psihotrope şi a precursorilor , în conformitate cu art. 71 din Legea nr. 382-XIV din 6 mai 1999 cu privire la circulaţia substanţelor stupefiante, psihotrope şi a precursorilor. </w:t>
      </w:r>
    </w:p>
    <w:p w:rsidR="00CC6C10" w:rsidRPr="00CC6C10" w:rsidRDefault="00CC6C10" w:rsidP="00CC6C10">
      <w:pPr>
        <w:spacing w:after="0" w:line="240" w:lineRule="auto"/>
        <w:ind w:firstLine="567"/>
        <w:jc w:val="both"/>
        <w:rPr>
          <w:rFonts w:asciiTheme="majorBidi" w:hAnsiTheme="majorBidi" w:cstheme="majorBidi"/>
          <w:sz w:val="28"/>
          <w:szCs w:val="28"/>
          <w:lang w:val="en-US"/>
        </w:rPr>
      </w:pPr>
      <w:r w:rsidRPr="00CC6C10">
        <w:rPr>
          <w:rFonts w:asciiTheme="majorBidi" w:hAnsiTheme="majorBidi" w:cstheme="majorBidi"/>
          <w:sz w:val="28"/>
          <w:szCs w:val="28"/>
          <w:lang w:val="en-US"/>
        </w:rPr>
        <w:t>Din numărul total al controalelor în trim. IV a fost un controal realizat de comunun cu INSPPC.</w:t>
      </w:r>
    </w:p>
    <w:p w:rsidR="00CC6C10" w:rsidRPr="00CC6C10" w:rsidRDefault="00CC6C10" w:rsidP="00CC6C10">
      <w:pPr>
        <w:spacing w:after="0" w:line="240" w:lineRule="auto"/>
        <w:ind w:firstLine="567"/>
        <w:jc w:val="both"/>
        <w:rPr>
          <w:rFonts w:asciiTheme="majorBidi" w:hAnsiTheme="majorBidi" w:cstheme="majorBidi"/>
          <w:sz w:val="28"/>
          <w:szCs w:val="28"/>
          <w:lang w:val="en-US"/>
        </w:rPr>
      </w:pPr>
      <w:r w:rsidRPr="00CC6C10">
        <w:rPr>
          <w:rFonts w:asciiTheme="majorBidi" w:hAnsiTheme="majorBidi" w:cstheme="majorBidi"/>
          <w:sz w:val="28"/>
          <w:szCs w:val="28"/>
          <w:lang w:val="en-US"/>
        </w:rPr>
        <w:t xml:space="preserve">În același timp, din numărul total de controale inițiate - 751 controale s-au finalizat cu verificarea situației sanitare și întocmirea proceselor verbale de control. Astfel, au fost supuse de facto controlului de stat 291 obiective ce practică activitatea de întreprinzător și 460 obiective publice (instituții pentru copii, IMSP, apeducte etc.). </w:t>
      </w:r>
    </w:p>
    <w:p w:rsidR="00CC6C10" w:rsidRPr="00CC6C10" w:rsidRDefault="00CC6C10" w:rsidP="00CC6C10">
      <w:pPr>
        <w:spacing w:after="0" w:line="240" w:lineRule="auto"/>
        <w:ind w:firstLine="567"/>
        <w:jc w:val="both"/>
        <w:rPr>
          <w:rFonts w:asciiTheme="majorBidi" w:hAnsiTheme="majorBidi" w:cstheme="majorBidi"/>
          <w:sz w:val="28"/>
          <w:szCs w:val="28"/>
          <w:lang w:val="en-US"/>
        </w:rPr>
      </w:pPr>
      <w:r w:rsidRPr="00CC6C10">
        <w:rPr>
          <w:rFonts w:asciiTheme="majorBidi" w:hAnsiTheme="majorBidi" w:cstheme="majorBidi"/>
          <w:sz w:val="28"/>
          <w:szCs w:val="28"/>
          <w:lang w:val="en-US"/>
        </w:rPr>
        <w:t>De menționat că, în 91 cazuri din controalele inițiate asupra activității de întreprinzător, misiunea de control de stat nu a fost posibil de realizat din următoarele motive:</w:t>
      </w:r>
    </w:p>
    <w:p w:rsidR="00CC6C10" w:rsidRPr="00CC6C10" w:rsidRDefault="00CC6C10" w:rsidP="00CC6C10">
      <w:pPr>
        <w:pStyle w:val="a5"/>
        <w:numPr>
          <w:ilvl w:val="0"/>
          <w:numId w:val="7"/>
        </w:numPr>
        <w:tabs>
          <w:tab w:val="left" w:pos="284"/>
        </w:tabs>
        <w:spacing w:after="0" w:line="240" w:lineRule="auto"/>
        <w:ind w:left="284" w:hanging="284"/>
        <w:jc w:val="both"/>
        <w:rPr>
          <w:rFonts w:asciiTheme="majorBidi" w:hAnsiTheme="majorBidi" w:cstheme="majorBidi"/>
          <w:sz w:val="28"/>
          <w:szCs w:val="28"/>
          <w:lang w:val="ro-RO"/>
        </w:rPr>
      </w:pPr>
      <w:r w:rsidRPr="00CC6C10">
        <w:rPr>
          <w:rFonts w:asciiTheme="majorBidi" w:hAnsiTheme="majorBidi" w:cstheme="majorBidi"/>
          <w:sz w:val="28"/>
          <w:szCs w:val="28"/>
          <w:lang w:val="ro-RO"/>
        </w:rPr>
        <w:t>obiectul supus controlului a sistat/suspendat activitatea (54 cazuri);</w:t>
      </w:r>
    </w:p>
    <w:p w:rsidR="00CC6C10" w:rsidRPr="00CC6C10" w:rsidRDefault="00CC6C10" w:rsidP="00CC6C10">
      <w:pPr>
        <w:pStyle w:val="a5"/>
        <w:numPr>
          <w:ilvl w:val="0"/>
          <w:numId w:val="7"/>
        </w:numPr>
        <w:tabs>
          <w:tab w:val="left" w:pos="284"/>
        </w:tabs>
        <w:spacing w:after="0" w:line="240" w:lineRule="auto"/>
        <w:ind w:left="284" w:hanging="284"/>
        <w:jc w:val="both"/>
        <w:rPr>
          <w:rFonts w:asciiTheme="majorBidi" w:hAnsiTheme="majorBidi" w:cstheme="majorBidi"/>
          <w:sz w:val="28"/>
          <w:szCs w:val="28"/>
          <w:lang w:val="ro-RO"/>
        </w:rPr>
      </w:pPr>
      <w:r w:rsidRPr="00CC6C10">
        <w:rPr>
          <w:rFonts w:asciiTheme="majorBidi" w:hAnsiTheme="majorBidi" w:cstheme="majorBidi"/>
          <w:sz w:val="28"/>
          <w:szCs w:val="28"/>
          <w:lang w:val="ro-RO"/>
        </w:rPr>
        <w:t>la adresa menționată în delegația de control la momentul controlului activa alt agent economic (20 cazuri);</w:t>
      </w:r>
    </w:p>
    <w:p w:rsidR="00CC6C10" w:rsidRPr="00CC6C10" w:rsidRDefault="00CC6C10" w:rsidP="00CC6C10">
      <w:pPr>
        <w:pStyle w:val="a5"/>
        <w:numPr>
          <w:ilvl w:val="0"/>
          <w:numId w:val="7"/>
        </w:numPr>
        <w:tabs>
          <w:tab w:val="left" w:pos="284"/>
        </w:tabs>
        <w:spacing w:after="0" w:line="240" w:lineRule="auto"/>
        <w:ind w:left="284" w:hanging="284"/>
        <w:jc w:val="both"/>
        <w:rPr>
          <w:rFonts w:asciiTheme="majorBidi" w:hAnsiTheme="majorBidi" w:cstheme="majorBidi"/>
          <w:sz w:val="28"/>
          <w:szCs w:val="28"/>
          <w:lang w:val="ro-RO"/>
        </w:rPr>
      </w:pPr>
      <w:r w:rsidRPr="00CC6C10">
        <w:rPr>
          <w:rFonts w:asciiTheme="majorBidi" w:hAnsiTheme="majorBidi" w:cstheme="majorBidi"/>
          <w:sz w:val="28"/>
          <w:szCs w:val="28"/>
          <w:lang w:val="ro-RO"/>
        </w:rPr>
        <w:t>obiectul supus controlului planificat anterior a fost supus unui control inopinat în baza cererii agentului economic, cu scopul eliberării autorizației sanitare de funcționare (10 cazuri);</w:t>
      </w:r>
    </w:p>
    <w:p w:rsidR="00CC6C10" w:rsidRPr="00CC6C10" w:rsidRDefault="00CC6C10" w:rsidP="00CC6C10">
      <w:pPr>
        <w:pStyle w:val="a5"/>
        <w:numPr>
          <w:ilvl w:val="0"/>
          <w:numId w:val="7"/>
        </w:numPr>
        <w:tabs>
          <w:tab w:val="left" w:pos="284"/>
        </w:tabs>
        <w:spacing w:after="0" w:line="240" w:lineRule="auto"/>
        <w:ind w:left="284" w:hanging="284"/>
        <w:jc w:val="both"/>
        <w:rPr>
          <w:rFonts w:asciiTheme="majorBidi" w:hAnsiTheme="majorBidi" w:cstheme="majorBidi"/>
          <w:sz w:val="28"/>
          <w:szCs w:val="28"/>
          <w:lang w:val="ro-RO"/>
        </w:rPr>
      </w:pPr>
      <w:r w:rsidRPr="00CC6C10">
        <w:rPr>
          <w:rFonts w:asciiTheme="majorBidi" w:hAnsiTheme="majorBidi" w:cstheme="majorBidi"/>
          <w:sz w:val="28"/>
          <w:szCs w:val="28"/>
          <w:lang w:val="ro-RO"/>
        </w:rPr>
        <w:t>lipsa obiectului la adresa indicată în delegația de control (7 cazuri).</w:t>
      </w:r>
    </w:p>
    <w:p w:rsidR="00CC6C10" w:rsidRPr="00CC6C10" w:rsidRDefault="00CC6C10" w:rsidP="00CC6C10">
      <w:pPr>
        <w:spacing w:after="0" w:line="240" w:lineRule="auto"/>
        <w:ind w:firstLine="567"/>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În perioada de referință de către</w:t>
      </w:r>
      <w:r w:rsidRPr="00CC6C10">
        <w:rPr>
          <w:rFonts w:asciiTheme="majorBidi" w:hAnsiTheme="majorBidi" w:cstheme="majorBidi"/>
          <w:sz w:val="28"/>
          <w:szCs w:val="28"/>
          <w:lang w:val="en-US"/>
        </w:rPr>
        <w:t xml:space="preserve"> specialiștii abilitați cu drept de control în sănătate publică</w:t>
      </w:r>
      <w:r w:rsidRPr="00CC6C10">
        <w:rPr>
          <w:rFonts w:asciiTheme="majorBidi" w:eastAsia="Calibri" w:hAnsiTheme="majorBidi" w:cstheme="majorBidi"/>
          <w:sz w:val="28"/>
          <w:szCs w:val="28"/>
          <w:lang w:val="en-US"/>
        </w:rPr>
        <w:t xml:space="preserve"> au fost realizate și 1222 de controale inopinate, inclusiv 1152 (94%) din ele cu scopul eliberării actelor permisive și 25 (2%) cu scopul examinării diverselor petiții și sesizări parvenite în adresa ANSP și 45 ( 4%) verificari tematice.</w:t>
      </w:r>
    </w:p>
    <w:p w:rsidR="00CC6C10" w:rsidRPr="00CC6C10" w:rsidRDefault="00CC6C10" w:rsidP="00CC6C10">
      <w:pPr>
        <w:spacing w:after="0" w:line="240" w:lineRule="auto"/>
        <w:ind w:firstLine="567"/>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În cadrul controalelor efectuate au fost depistate neconformități in activitatea unor agenți, cum ar fi:</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Lipsa autorizației sanitare de funcționare cu termen valabil pentru genul de activitate desfășurat;</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lastRenderedPageBreak/>
        <w:t>Lucrătorii entității controlate nu au susținut instruirea igienică;</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Nu au fost prezentate rezultatele investigațiilor de laborator ale nivelul factorilor de risc la locul de munca (iluminare naturală şi artificială, microclimat, zgomot, calitatea aerului și apei) conforme normelor şi regulilor sanitare în vigoare;</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Nu au fost prezentate meniul model pentru alimentaţia copiilor pentru 10 zile și planul măsurilor de profilaxie a intoxicațiilor alimentare și bolilor diareice acute, coordonate cu Centrul de Sănătate Publică teritorial;</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Nu au fost prezentate rezultatele investigațiilor de laborator (nivelul iluminatului, factorilor meteoclimatici, nivelul zgomotului, aerului din zona de lucru la indicatorii chimici) la coloana de distribuție cu investigarea aerului din mediul ocupațional la indicatorii: toluen, xilen, benzen și la zona de protecție sanitară;</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hAnsiTheme="majorBidi" w:cstheme="majorBidi"/>
          <w:sz w:val="28"/>
          <w:szCs w:val="28"/>
          <w:shd w:val="clear" w:color="auto" w:fill="FFFFFF"/>
          <w:lang w:val="en-US"/>
        </w:rPr>
        <w:t>Nu sunt înzestrate vestiarele cu sisteme de ventilare mecanică flux-reflux;</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Angajaţii nu sunt asiguraţi cu dulapuri individuale pentru păstrarea separată a îmbrăcămintei speciale şi a hainelor de schimb.</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Neprezentarea contractelor cu spălătorii specializate pentru spălarea şi detoxicarea echipamentului de protecţie;</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Nu sunt amenajate sectoare (platforme) cu tomberoane, pentru colectarea separată a deşeurilor menajere şi tehnice.</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Nu au fost prezentate planurile proprii de gestionare a deșeurilor rezultate din activitatea medicală și coordonate cu Centrele de Sănătate Publică teritoriale;</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Lipsa Programului autocontrolului la parametrii microbiologici ai aerului și de pe obiectele mediului înconjurător în cadrul instituțiilor medicale;</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Nu este înscris în fişa de post a fiecărui angajat din instituţiile medico-sanitare obligaţiunile profesionale ce ţin de gestionarea deşeurilor rezultate din activitatea medicală;</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Nu au fost prezentate planurile de siguranță și p</w:t>
      </w:r>
      <w:r w:rsidRPr="00CC6C10">
        <w:rPr>
          <w:rFonts w:asciiTheme="majorBidi" w:hAnsiTheme="majorBidi" w:cstheme="majorBidi"/>
          <w:sz w:val="28"/>
          <w:szCs w:val="28"/>
          <w:lang w:val="en-US"/>
        </w:rPr>
        <w:t xml:space="preserve">rogramele de monitorizare </w:t>
      </w:r>
      <w:r w:rsidRPr="00CC6C10">
        <w:rPr>
          <w:rFonts w:asciiTheme="majorBidi" w:eastAsia="Calibri" w:hAnsiTheme="majorBidi" w:cstheme="majorBidi"/>
          <w:sz w:val="28"/>
          <w:szCs w:val="28"/>
          <w:lang w:val="en-US"/>
        </w:rPr>
        <w:t>a calității apei potabile, coordonate cu Centrele de Sănătate Publică teritoriale;</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Nu sunt amenajate și întreținute corespunzător actelor normative Zonele de protecție sanitară în jurul sursei de apă;</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Lipsa datelor privind indeplinirea masurilor de dezinfecție a rețelei de apeduct;</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Lipsa avizelor sanitare pentru substanțele biocide utilizate;</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Lipsa la intrare în cel mai vizibil loc, semnului unic de interzicere a fumatului în conformitate cu prevederile actelor normative în vigoare;</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 xml:space="preserve">Expunerea vizibilă a produselor din tutun, a produselor conexe, a dispozitivelor şi a accesoriilor de utilizare, reîncărcare sau încălzire a acestora în spaţiile comerciale accesibile publicului. </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Lipsa listei produselor din tutun, a produselor conexe, a dispozitivelor şi a accesoriilor de utilizare, reîncărcare sau încălzire a acestora disponibile pentru comercializare, cu indicarea preţurilor acestora, imprimată pe hîrtie albă cu caractere negre, se prezintă de către vînzător la solicitarea cumpărătorilor adulţi;</w:t>
      </w:r>
    </w:p>
    <w:p w:rsidR="00CC6C10" w:rsidRPr="00CC6C10" w:rsidRDefault="00CC6C10" w:rsidP="00CC6C10">
      <w:pPr>
        <w:numPr>
          <w:ilvl w:val="0"/>
          <w:numId w:val="5"/>
        </w:numPr>
        <w:tabs>
          <w:tab w:val="left" w:pos="284"/>
        </w:tabs>
        <w:spacing w:after="0" w:line="240" w:lineRule="auto"/>
        <w:ind w:left="0" w:firstLine="0"/>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Nu este afișat la loc vizibil informația referitor la autoritatea abilitată cu funcție de control în domeniul protecției consumatorilor.</w:t>
      </w:r>
    </w:p>
    <w:p w:rsidR="00CC6C10" w:rsidRPr="00CC6C10" w:rsidRDefault="00CC6C10" w:rsidP="00CC6C10">
      <w:pPr>
        <w:tabs>
          <w:tab w:val="left" w:pos="567"/>
        </w:tabs>
        <w:spacing w:after="0" w:line="240" w:lineRule="auto"/>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ab/>
        <w:t xml:space="preserve">În rezultatul controalelor efectuate, de către subdiviziunile ANSP au fost întocmite și expediate în adresa factorilor de decizie 372 prescripții, întocmite 69 procese-verbale de contravenție administrativă, emise 37 planuri de remediere a deficiențelor constatate </w:t>
      </w:r>
      <w:r w:rsidRPr="00CC6C10">
        <w:rPr>
          <w:rFonts w:asciiTheme="majorBidi" w:eastAsia="Calibri" w:hAnsiTheme="majorBidi" w:cstheme="majorBidi"/>
          <w:sz w:val="28"/>
          <w:szCs w:val="28"/>
          <w:lang w:val="en-US"/>
        </w:rPr>
        <w:lastRenderedPageBreak/>
        <w:t>în vederea conformării contravenientului cu cerințele legislației, perfectate 32 decizii de aplicate amenzii în sumă de 126400 lei și emise 6 Hotărâri de suspendare/interzicere.</w:t>
      </w:r>
    </w:p>
    <w:p w:rsidR="00CC6C10" w:rsidRPr="00CC6C10" w:rsidRDefault="00CC6C10" w:rsidP="00CC6C10">
      <w:pPr>
        <w:spacing w:after="0" w:line="240" w:lineRule="auto"/>
        <w:ind w:firstLine="567"/>
        <w:jc w:val="both"/>
        <w:rPr>
          <w:rFonts w:asciiTheme="majorBidi" w:eastAsia="Calibri" w:hAnsiTheme="majorBidi" w:cstheme="majorBidi"/>
          <w:sz w:val="28"/>
          <w:szCs w:val="28"/>
          <w:lang w:val="en-US"/>
        </w:rPr>
      </w:pPr>
      <w:r w:rsidRPr="00CC6C10">
        <w:rPr>
          <w:rFonts w:asciiTheme="majorBidi" w:eastAsia="Calibri" w:hAnsiTheme="majorBidi" w:cstheme="majorBidi"/>
          <w:sz w:val="28"/>
          <w:szCs w:val="28"/>
          <w:lang w:val="en-US"/>
        </w:rPr>
        <w:t>Concomitent, în perioada de referință au fost realizate un șir de activități de informare și sensibilizare a persoanelor fizice și juridice, ce țin de respectarea legislației în domeniul sănătății publice. În acest sens, au fost desfășurate peste 241 de activități, cum ar fi: seminare, mese rotunde, vizite de consultare, convorbiri, răspunsuri la solicitări, publicații în presă, emisiuni TV, Radio,</w:t>
      </w:r>
      <w:r w:rsidRPr="00CC6C10">
        <w:rPr>
          <w:rFonts w:asciiTheme="majorBidi" w:hAnsiTheme="majorBidi" w:cstheme="majorBidi"/>
          <w:sz w:val="28"/>
          <w:szCs w:val="28"/>
          <w:lang w:val="en-US"/>
        </w:rPr>
        <w:t xml:space="preserve"> </w:t>
      </w:r>
      <w:r w:rsidRPr="00CC6C10">
        <w:rPr>
          <w:rFonts w:asciiTheme="majorBidi" w:eastAsia="Calibri" w:hAnsiTheme="majorBidi" w:cstheme="majorBidi"/>
          <w:sz w:val="28"/>
          <w:szCs w:val="28"/>
          <w:lang w:val="en-US"/>
        </w:rPr>
        <w:t>postări pe pagina web oficială și paginile din rețelele de socializare a organului de control (CSP teritoriale), etc. În același timp, per ansamblu pe țară, au fost elaborate și expediate autorităților publice și altor factori de decizie 159 scrisori/ note informative/sesizări în care au fost elucidate problemele existente în domeniul sănătății publice și propuneri concrete de ameliorare a situației.</w:t>
      </w:r>
    </w:p>
    <w:p w:rsidR="00A76EDC" w:rsidRDefault="00A76EDC" w:rsidP="00A76EDC">
      <w:pPr>
        <w:spacing w:after="0" w:line="240" w:lineRule="auto"/>
        <w:ind w:firstLine="567"/>
        <w:jc w:val="both"/>
        <w:rPr>
          <w:rFonts w:ascii="Times New Roman" w:eastAsia="Calibri" w:hAnsi="Times New Roman" w:cs="Times New Roman"/>
          <w:sz w:val="28"/>
          <w:szCs w:val="28"/>
          <w:lang w:val="ro-RO"/>
        </w:rPr>
      </w:pPr>
    </w:p>
    <w:p w:rsidR="00DA0FB4" w:rsidRDefault="00DA0FB4" w:rsidP="00A76EDC">
      <w:pPr>
        <w:spacing w:after="0" w:line="240" w:lineRule="auto"/>
        <w:ind w:firstLine="567"/>
        <w:jc w:val="both"/>
        <w:rPr>
          <w:rFonts w:ascii="Times New Roman" w:eastAsia="Calibri" w:hAnsi="Times New Roman" w:cs="Times New Roman"/>
          <w:sz w:val="28"/>
          <w:szCs w:val="28"/>
          <w:lang w:val="ro-RO"/>
        </w:rPr>
      </w:pPr>
    </w:p>
    <w:p w:rsidR="00DA0FB4" w:rsidRPr="00E816EA" w:rsidRDefault="00DA0FB4" w:rsidP="00A76EDC">
      <w:pPr>
        <w:spacing w:after="0" w:line="240" w:lineRule="auto"/>
        <w:ind w:firstLine="567"/>
        <w:jc w:val="both"/>
        <w:rPr>
          <w:rFonts w:ascii="Times New Roman" w:eastAsia="Calibri" w:hAnsi="Times New Roman" w:cs="Times New Roman"/>
          <w:sz w:val="28"/>
          <w:szCs w:val="28"/>
          <w:lang w:val="ro-RO"/>
        </w:rPr>
      </w:pPr>
      <w:bookmarkStart w:id="0" w:name="_GoBack"/>
      <w:bookmarkEnd w:id="0"/>
    </w:p>
    <w:p w:rsidR="000C1DCC" w:rsidRDefault="006824CD" w:rsidP="00A76EDC">
      <w:pPr>
        <w:spacing w:after="0" w:line="240" w:lineRule="auto"/>
        <w:jc w:val="both"/>
        <w:rPr>
          <w:rFonts w:ascii="Times New Roman" w:eastAsia="Times New Roman" w:hAnsi="Times New Roman" w:cs="Times New Roman"/>
          <w:sz w:val="28"/>
          <w:szCs w:val="28"/>
          <w:lang w:val="ro-RO" w:eastAsia="ru-RU"/>
        </w:rPr>
      </w:pPr>
      <w:r w:rsidRPr="003536DD">
        <w:rPr>
          <w:rFonts w:ascii="Times New Roman" w:eastAsia="Times New Roman" w:hAnsi="Times New Roman" w:cs="Times New Roman"/>
          <w:sz w:val="28"/>
          <w:szCs w:val="28"/>
          <w:lang w:val="ro-RO" w:eastAsia="ru-RU"/>
        </w:rPr>
        <w:t>Serviciul informare şi comunicare cu mass-media 022 574-</w:t>
      </w:r>
      <w:r w:rsidR="00F27547">
        <w:rPr>
          <w:rFonts w:ascii="Times New Roman" w:eastAsia="Times New Roman" w:hAnsi="Times New Roman" w:cs="Times New Roman"/>
          <w:sz w:val="28"/>
          <w:szCs w:val="28"/>
          <w:lang w:val="ro-RO" w:eastAsia="ru-RU"/>
        </w:rPr>
        <w:t>642</w:t>
      </w:r>
    </w:p>
    <w:sectPr w:rsidR="000C1DCC" w:rsidSect="00E61A93">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98" w:rsidRDefault="00CF7198" w:rsidP="00B73DED">
      <w:pPr>
        <w:spacing w:after="0" w:line="240" w:lineRule="auto"/>
      </w:pPr>
      <w:r>
        <w:separator/>
      </w:r>
    </w:p>
  </w:endnote>
  <w:endnote w:type="continuationSeparator" w:id="0">
    <w:p w:rsidR="00CF7198" w:rsidRDefault="00CF7198" w:rsidP="00B7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98" w:rsidRDefault="00CF7198" w:rsidP="00B73DED">
      <w:pPr>
        <w:spacing w:after="0" w:line="240" w:lineRule="auto"/>
      </w:pPr>
      <w:r>
        <w:separator/>
      </w:r>
    </w:p>
  </w:footnote>
  <w:footnote w:type="continuationSeparator" w:id="0">
    <w:p w:rsidR="00CF7198" w:rsidRDefault="00CF7198" w:rsidP="00B73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06F6"/>
    <w:multiLevelType w:val="hybridMultilevel"/>
    <w:tmpl w:val="E6B2CD34"/>
    <w:lvl w:ilvl="0" w:tplc="73FE31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BB2661"/>
    <w:multiLevelType w:val="hybridMultilevel"/>
    <w:tmpl w:val="6CFA51B6"/>
    <w:lvl w:ilvl="0" w:tplc="73FE31F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B025304"/>
    <w:multiLevelType w:val="hybridMultilevel"/>
    <w:tmpl w:val="FB7C6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145DDB"/>
    <w:multiLevelType w:val="hybridMultilevel"/>
    <w:tmpl w:val="AAC830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EA46A49"/>
    <w:multiLevelType w:val="hybridMultilevel"/>
    <w:tmpl w:val="8CE82C72"/>
    <w:lvl w:ilvl="0" w:tplc="73FE31F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57C2CA6"/>
    <w:multiLevelType w:val="hybridMultilevel"/>
    <w:tmpl w:val="29D2D3B0"/>
    <w:lvl w:ilvl="0" w:tplc="4A5E639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86D1922"/>
    <w:multiLevelType w:val="hybridMultilevel"/>
    <w:tmpl w:val="C6B80B08"/>
    <w:lvl w:ilvl="0" w:tplc="73FE31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CD"/>
    <w:rsid w:val="00072D9B"/>
    <w:rsid w:val="00083FE4"/>
    <w:rsid w:val="000C1DCC"/>
    <w:rsid w:val="000D2720"/>
    <w:rsid w:val="000D459B"/>
    <w:rsid w:val="00120761"/>
    <w:rsid w:val="0019544D"/>
    <w:rsid w:val="001A6049"/>
    <w:rsid w:val="001D46A9"/>
    <w:rsid w:val="002137B3"/>
    <w:rsid w:val="00251CA5"/>
    <w:rsid w:val="0025550B"/>
    <w:rsid w:val="002F4696"/>
    <w:rsid w:val="002F5D1C"/>
    <w:rsid w:val="002F77E7"/>
    <w:rsid w:val="003022A3"/>
    <w:rsid w:val="00334F59"/>
    <w:rsid w:val="00337ECF"/>
    <w:rsid w:val="00350536"/>
    <w:rsid w:val="003536DD"/>
    <w:rsid w:val="003654E4"/>
    <w:rsid w:val="00371D4F"/>
    <w:rsid w:val="003A7DCF"/>
    <w:rsid w:val="003B031D"/>
    <w:rsid w:val="00400595"/>
    <w:rsid w:val="00423800"/>
    <w:rsid w:val="00484D9E"/>
    <w:rsid w:val="004A6A74"/>
    <w:rsid w:val="004E6E6B"/>
    <w:rsid w:val="005773CB"/>
    <w:rsid w:val="005A1323"/>
    <w:rsid w:val="005A7805"/>
    <w:rsid w:val="005B1464"/>
    <w:rsid w:val="00603D5E"/>
    <w:rsid w:val="00635E9F"/>
    <w:rsid w:val="00651C12"/>
    <w:rsid w:val="006802AF"/>
    <w:rsid w:val="006824CD"/>
    <w:rsid w:val="006920D4"/>
    <w:rsid w:val="006948BA"/>
    <w:rsid w:val="006B37E3"/>
    <w:rsid w:val="00700B85"/>
    <w:rsid w:val="00720360"/>
    <w:rsid w:val="00733E0B"/>
    <w:rsid w:val="00766759"/>
    <w:rsid w:val="007A0732"/>
    <w:rsid w:val="00843FC3"/>
    <w:rsid w:val="00854A50"/>
    <w:rsid w:val="00876F71"/>
    <w:rsid w:val="008A1E7F"/>
    <w:rsid w:val="008E0542"/>
    <w:rsid w:val="00900F58"/>
    <w:rsid w:val="00901EA4"/>
    <w:rsid w:val="00931533"/>
    <w:rsid w:val="00946097"/>
    <w:rsid w:val="009740A6"/>
    <w:rsid w:val="00991DF0"/>
    <w:rsid w:val="009A0230"/>
    <w:rsid w:val="009B6583"/>
    <w:rsid w:val="009D0A83"/>
    <w:rsid w:val="00A245FD"/>
    <w:rsid w:val="00A35F08"/>
    <w:rsid w:val="00A532BC"/>
    <w:rsid w:val="00A76EDC"/>
    <w:rsid w:val="00AD3250"/>
    <w:rsid w:val="00AE3012"/>
    <w:rsid w:val="00AF3527"/>
    <w:rsid w:val="00AF42C2"/>
    <w:rsid w:val="00B1284E"/>
    <w:rsid w:val="00B73DED"/>
    <w:rsid w:val="00B84B13"/>
    <w:rsid w:val="00BE60F0"/>
    <w:rsid w:val="00C01F0E"/>
    <w:rsid w:val="00C025AF"/>
    <w:rsid w:val="00CA2E39"/>
    <w:rsid w:val="00CB22FC"/>
    <w:rsid w:val="00CC6C10"/>
    <w:rsid w:val="00CD7762"/>
    <w:rsid w:val="00CE1EB6"/>
    <w:rsid w:val="00CF3A67"/>
    <w:rsid w:val="00CF7198"/>
    <w:rsid w:val="00D00A29"/>
    <w:rsid w:val="00D42965"/>
    <w:rsid w:val="00D56B5B"/>
    <w:rsid w:val="00D74888"/>
    <w:rsid w:val="00DA0FB4"/>
    <w:rsid w:val="00DE4417"/>
    <w:rsid w:val="00E33E79"/>
    <w:rsid w:val="00E42EE8"/>
    <w:rsid w:val="00E61A93"/>
    <w:rsid w:val="00E708B9"/>
    <w:rsid w:val="00E816EA"/>
    <w:rsid w:val="00E928AC"/>
    <w:rsid w:val="00E95923"/>
    <w:rsid w:val="00F27547"/>
    <w:rsid w:val="00F50DF5"/>
    <w:rsid w:val="00F71CF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B891"/>
  <w15:docId w15:val="{0C30902E-F454-49F7-B168-A5F1309E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E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4CD"/>
    <w:rPr>
      <w:rFonts w:ascii="Tahoma" w:hAnsi="Tahoma" w:cs="Tahoma"/>
      <w:sz w:val="16"/>
      <w:szCs w:val="16"/>
    </w:rPr>
  </w:style>
  <w:style w:type="character" w:customStyle="1" w:styleId="Bodytext2">
    <w:name w:val="Body text (2)"/>
    <w:rsid w:val="00900F5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style>
  <w:style w:type="paragraph" w:styleId="a5">
    <w:name w:val="List Paragraph"/>
    <w:basedOn w:val="a"/>
    <w:uiPriority w:val="34"/>
    <w:qFormat/>
    <w:rsid w:val="00720360"/>
    <w:pPr>
      <w:ind w:left="720"/>
      <w:contextualSpacing/>
    </w:pPr>
  </w:style>
  <w:style w:type="paragraph" w:customStyle="1" w:styleId="Default">
    <w:name w:val="Default"/>
    <w:rsid w:val="002137B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B73D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3DED"/>
  </w:style>
  <w:style w:type="paragraph" w:styleId="a8">
    <w:name w:val="footer"/>
    <w:basedOn w:val="a"/>
    <w:link w:val="a9"/>
    <w:uiPriority w:val="99"/>
    <w:unhideWhenUsed/>
    <w:rsid w:val="00B73D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14863">
      <w:bodyDiv w:val="1"/>
      <w:marLeft w:val="0"/>
      <w:marRight w:val="0"/>
      <w:marTop w:val="0"/>
      <w:marBottom w:val="0"/>
      <w:divBdr>
        <w:top w:val="none" w:sz="0" w:space="0" w:color="auto"/>
        <w:left w:val="none" w:sz="0" w:space="0" w:color="auto"/>
        <w:bottom w:val="none" w:sz="0" w:space="0" w:color="auto"/>
        <w:right w:val="none" w:sz="0" w:space="0" w:color="auto"/>
      </w:divBdr>
      <w:divsChild>
        <w:div w:id="1177622335">
          <w:marLeft w:val="0"/>
          <w:marRight w:val="0"/>
          <w:marTop w:val="0"/>
          <w:marBottom w:val="0"/>
          <w:divBdr>
            <w:top w:val="none" w:sz="0" w:space="0" w:color="auto"/>
            <w:left w:val="none" w:sz="0" w:space="0" w:color="auto"/>
            <w:bottom w:val="none" w:sz="0" w:space="0" w:color="auto"/>
            <w:right w:val="none" w:sz="0" w:space="0" w:color="auto"/>
          </w:divBdr>
        </w:div>
        <w:div w:id="558050589">
          <w:marLeft w:val="0"/>
          <w:marRight w:val="0"/>
          <w:marTop w:val="150"/>
          <w:marBottom w:val="150"/>
          <w:divBdr>
            <w:top w:val="none" w:sz="0" w:space="0" w:color="auto"/>
            <w:left w:val="none" w:sz="0" w:space="0" w:color="auto"/>
            <w:bottom w:val="none" w:sz="0" w:space="0" w:color="auto"/>
            <w:right w:val="none" w:sz="0" w:space="0" w:color="auto"/>
          </w:divBdr>
          <w:divsChild>
            <w:div w:id="1425879461">
              <w:marLeft w:val="0"/>
              <w:marRight w:val="300"/>
              <w:marTop w:val="75"/>
              <w:marBottom w:val="300"/>
              <w:divBdr>
                <w:top w:val="single" w:sz="6" w:space="2" w:color="DDDDDD"/>
                <w:left w:val="single" w:sz="6" w:space="2" w:color="DDDDDD"/>
                <w:bottom w:val="single" w:sz="6" w:space="2" w:color="DDDDDD"/>
                <w:right w:val="single" w:sz="6" w:space="2"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Spinu™</dc:creator>
  <cp:lastModifiedBy>Magik Cristal</cp:lastModifiedBy>
  <cp:revision>3</cp:revision>
  <cp:lastPrinted>2024-07-11T12:26:00Z</cp:lastPrinted>
  <dcterms:created xsi:type="dcterms:W3CDTF">2025-01-16T09:37:00Z</dcterms:created>
  <dcterms:modified xsi:type="dcterms:W3CDTF">2025-01-16T09:37:00Z</dcterms:modified>
</cp:coreProperties>
</file>