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56" w:rsidRDefault="00C45F56" w:rsidP="00C45F56">
      <w:pPr>
        <w:jc w:val="right"/>
        <w:rPr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C45F56" w:rsidRDefault="00C45F56" w:rsidP="00C45F56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Anexa nr.1</w:t>
      </w:r>
    </w:p>
    <w:p w:rsidR="00C45F56" w:rsidRDefault="00C45F56" w:rsidP="00C45F56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la ordinul ANSP nr. 114 din  07 iunie 2023</w:t>
      </w:r>
    </w:p>
    <w:p w:rsidR="00C45F56" w:rsidRDefault="00C45F56" w:rsidP="00C45F56">
      <w:pPr>
        <w:jc w:val="center"/>
        <w:rPr>
          <w:b/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Fișa serviciului public</w:t>
      </w:r>
    </w:p>
    <w:p w:rsidR="00C45F56" w:rsidRDefault="00C45F56" w:rsidP="00C45F5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Avizarea sanitară asupra mențiunilor de sănătate</w:t>
      </w:r>
    </w:p>
    <w:p w:rsidR="00C45F56" w:rsidRDefault="00C45F56" w:rsidP="00C45F56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Criteriul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Descriere</w:t>
            </w:r>
          </w:p>
        </w:tc>
      </w:tr>
      <w:tr w:rsidR="00C45F56" w:rsidTr="00C45F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Rubrica Detalii</w:t>
            </w:r>
          </w:p>
        </w:tc>
      </w:tr>
      <w:tr w:rsidR="00C45F56" w:rsidRP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Prestatorul serviciului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Agenția Națională pentru Sănătate Publică</w:t>
            </w:r>
          </w:p>
        </w:tc>
      </w:tr>
      <w:tr w:rsid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Codul prestatorul serviciului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1018601000021</w:t>
            </w:r>
          </w:p>
        </w:tc>
      </w:tr>
      <w:tr w:rsid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Beneficiarul final al serviciului public sau grupul țintă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Guvern către Afaceri (G2B)</w:t>
            </w:r>
          </w:p>
        </w:tc>
      </w:tr>
      <w:tr w:rsid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Categoria din care face parte serviciul public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Sănătate </w:t>
            </w:r>
          </w:p>
        </w:tc>
      </w:tr>
      <w:tr w:rsid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Codul serviciului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C45F56" w:rsidRP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Denumirea completă a serviciului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>
            <w:pPr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Avizarea sanitară asupra mențiunilor de sănătate</w:t>
            </w:r>
          </w:p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Cuvintele-cheie specifice serviciului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>
            <w:pPr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Mențiuni de sănătate</w:t>
            </w:r>
          </w:p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C45F56" w:rsidRP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Descrierea serviciului</w:t>
            </w:r>
          </w:p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Cerințe față de solicitant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Menţiune de sănătate –</w:t>
            </w:r>
            <w:r>
              <w:rPr>
                <w:sz w:val="24"/>
                <w:szCs w:val="24"/>
                <w:lang w:eastAsia="en-US"/>
              </w:rPr>
              <w:t xml:space="preserve"> orice menţiune sau reprezentare în orice formă de cuvinte, declarații, imagini, logouri care declară, sugerează sau implică faptul că există o relaţie între o categorie de produse alimentare, un produs alimentar sau unul din componenţii săi şi sănătate.</w:t>
            </w:r>
          </w:p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Serviciul reprezintă </w:t>
            </w:r>
            <w:r>
              <w:rPr>
                <w:sz w:val="24"/>
                <w:szCs w:val="24"/>
                <w:lang w:eastAsia="en-US"/>
              </w:rPr>
              <w:t xml:space="preserve">asigurarea evaluării ştiinţifice a cererii şi a informațiilor depuse de către solicitant în vederea obținerii avizului sanitar pentru mențiunile de sănătate în conformitate cu prevederile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HG 196/2011</w:t>
            </w:r>
            <w:r>
              <w:rPr>
                <w:sz w:val="24"/>
                <w:szCs w:val="24"/>
                <w:lang w:eastAsia="en-US"/>
              </w:rPr>
              <w:t xml:space="preserve"> pentru aprobarea Regulamentului sanitar privind mențiunile nutriționale și de sănătate înscrise pe produsele alimentare.  </w:t>
            </w:r>
          </w:p>
        </w:tc>
      </w:tr>
      <w:tr w:rsidR="00C45F56" w:rsidRP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Procedura de depunere a reclamațiilor/petițiilor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Petițiile se depun on-line la </w:t>
            </w:r>
            <w:hyperlink r:id="rId6" w:history="1">
              <w:r>
                <w:rPr>
                  <w:rStyle w:val="a3"/>
                  <w:sz w:val="24"/>
                  <w:szCs w:val="24"/>
                  <w:lang w:eastAsia="en-US"/>
                </w:rPr>
                <w:t>http://ansp.md/index.php/depune-petitie/</w:t>
              </w:r>
            </w:hyperlink>
            <w:r>
              <w:rPr>
                <w:sz w:val="24"/>
                <w:szCs w:val="24"/>
                <w:lang w:eastAsia="en-US"/>
              </w:rPr>
              <w:t>,  prin poșta convențională, la sediul ANSP sau la Centrele de sănătate publică regionale</w:t>
            </w:r>
          </w:p>
        </w:tc>
      </w:tr>
      <w:tr w:rsidR="00C45F56" w:rsidRP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Sancțiuni și penalități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Angajații Agenției Naționale pentru Sănătate Publică poartă răspundere disciplinară, civilă, contravențională sau penală, după caz, pentru neexecutarea sau executarea necorespunzătoare a atribuțiilor privind prestarea prezentului serviciu public. </w:t>
            </w:r>
          </w:p>
        </w:tc>
      </w:tr>
      <w:tr w:rsid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Tariful și termenul de prestare a serviciului;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zile</w:t>
            </w:r>
          </w:p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4896 MDL</w:t>
            </w:r>
          </w:p>
        </w:tc>
      </w:tr>
      <w:tr w:rsidR="00C45F56" w:rsidTr="00C45F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Rubrica Procesul de obținere</w:t>
            </w:r>
          </w:p>
        </w:tc>
      </w:tr>
      <w:tr w:rsidR="00C45F56" w:rsidRPr="00C45F56" w:rsidTr="00C45F56">
        <w:trPr>
          <w:trHeight w:val="3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Procesul de prestare a serviciului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Pas 1.</w:t>
            </w:r>
            <w:r>
              <w:rPr>
                <w:sz w:val="24"/>
                <w:szCs w:val="24"/>
                <w:lang w:eastAsia="en-US"/>
              </w:rPr>
              <w:t xml:space="preserve"> Solicitantul sau reprezentantul său legal depune o cerere pentru obținerea avizului sanitar asupra mențiunilor de sănătate la ghișeul Agenției Naționale pentru Sănătate Publică, </w:t>
            </w:r>
            <w:proofErr w:type="spellStart"/>
            <w:r>
              <w:rPr>
                <w:sz w:val="24"/>
                <w:szCs w:val="24"/>
                <w:lang w:eastAsia="en-US"/>
              </w:rPr>
              <w:t>atr</w:t>
            </w:r>
            <w:proofErr w:type="spellEnd"/>
            <w:r>
              <w:rPr>
                <w:sz w:val="24"/>
                <w:szCs w:val="24"/>
                <w:lang w:eastAsia="en-US"/>
              </w:rPr>
              <w:t>. Gheorghe Asachi 67A;</w:t>
            </w:r>
          </w:p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Pas 2. </w:t>
            </w:r>
            <w:r>
              <w:rPr>
                <w:sz w:val="24"/>
                <w:szCs w:val="24"/>
                <w:lang w:eastAsia="en-US"/>
              </w:rPr>
              <w:t>Procesarea și Examinarea cererii;</w:t>
            </w:r>
          </w:p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Pas 3.</w:t>
            </w:r>
            <w:r>
              <w:rPr>
                <w:sz w:val="24"/>
                <w:szCs w:val="24"/>
                <w:lang w:eastAsia="en-US"/>
              </w:rPr>
              <w:t xml:space="preserve"> Emiterea contului de plată;</w:t>
            </w:r>
          </w:p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Pas 4.</w:t>
            </w:r>
            <w:r>
              <w:rPr>
                <w:sz w:val="24"/>
                <w:szCs w:val="24"/>
                <w:lang w:eastAsia="en-US"/>
              </w:rPr>
              <w:t xml:space="preserve"> Achitarea serviciului public prin transfer bancar pe contul Agenției Naționale pentru Sănătate Publică;</w:t>
            </w:r>
          </w:p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Pas 5.</w:t>
            </w:r>
            <w:r>
              <w:rPr>
                <w:sz w:val="24"/>
                <w:szCs w:val="24"/>
                <w:lang w:eastAsia="en-US"/>
              </w:rPr>
              <w:t xml:space="preserve"> Recepționarea avizului sanitar/a refuzului avizării sanitare în urma prezentării dovezilor de achitare a contului de plată la ghișeul ANSP, str. Gh. Asachi 67A</w:t>
            </w:r>
          </w:p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Pas 6.</w:t>
            </w:r>
            <w:r>
              <w:rPr>
                <w:sz w:val="24"/>
                <w:szCs w:val="24"/>
                <w:lang w:eastAsia="en-US"/>
              </w:rPr>
              <w:t xml:space="preserve"> Publicarea avizului sanitar pozitiv pe pagina web a instituției în termen de 5 zile</w:t>
            </w:r>
          </w:p>
        </w:tc>
      </w:tr>
      <w:tr w:rsidR="00C45F56" w:rsidRPr="00C45F56" w:rsidTr="00C45F56">
        <w:trPr>
          <w:trHeight w:val="2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Rubrica Program și canale de prestare</w:t>
            </w:r>
          </w:p>
        </w:tc>
      </w:tr>
      <w:tr w:rsidR="00C45F56" w:rsidRPr="00C45F56" w:rsidTr="00C45F56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Adresa și date de contact ale prestatorului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2028, Chişinău, str. Gh. Asachi 67 A</w:t>
            </w:r>
          </w:p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Tel.+ 373 22 574 501, </w:t>
            </w:r>
          </w:p>
          <w:p w:rsidR="00C45F56" w:rsidRDefault="00C45F56">
            <w:pPr>
              <w:shd w:val="clear" w:color="auto" w:fill="FFFFFF"/>
              <w:ind w:firstLine="0"/>
              <w:rPr>
                <w:bCs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+373 </w:t>
            </w:r>
            <w:r>
              <w:rPr>
                <w:bCs/>
                <w:sz w:val="24"/>
                <w:szCs w:val="24"/>
                <w:shd w:val="clear" w:color="auto" w:fill="F7F7F7"/>
                <w:lang w:eastAsia="en-US"/>
              </w:rPr>
              <w:t xml:space="preserve">22 574 689, </w:t>
            </w:r>
          </w:p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+373 22 574 548,</w:t>
            </w:r>
          </w:p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Fax + 373 22 729 725,</w:t>
            </w:r>
          </w:p>
          <w:p w:rsidR="00C45F56" w:rsidRDefault="00C45F56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e-mail: </w:t>
            </w:r>
            <w:hyperlink r:id="rId7" w:history="1">
              <w:r>
                <w:rPr>
                  <w:rStyle w:val="a3"/>
                  <w:sz w:val="24"/>
                  <w:szCs w:val="24"/>
                  <w:lang w:eastAsia="en-US"/>
                </w:rPr>
                <w:t>office@ansp.gov.md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5F56" w:rsidTr="00C45F56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Programul de prestare a serviciului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shd w:val="clear" w:color="auto" w:fill="FFFFFF"/>
              <w:ind w:firstLine="0"/>
              <w:rPr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Luni - Vineri</w:t>
            </w:r>
          </w:p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8:30- 16:00</w:t>
            </w:r>
          </w:p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Pauză 12:30-13:00</w:t>
            </w:r>
          </w:p>
        </w:tc>
      </w:tr>
      <w:tr w:rsidR="00C45F56" w:rsidRPr="00C45F56" w:rsidTr="00C45F56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Unitățile de prestare ale prestatorului de servicii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Serviciul este prestat în exclusivitate la sediul central al ANSP</w:t>
            </w:r>
          </w:p>
        </w:tc>
      </w:tr>
      <w:tr w:rsidR="00C45F56" w:rsidTr="00C45F56">
        <w:trPr>
          <w:trHeight w:val="2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Rubrica Documente</w:t>
            </w:r>
          </w:p>
        </w:tc>
      </w:tr>
      <w:tr w:rsid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Documentele necesare pentru prestarea serviciului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shd w:val="clear" w:color="auto" w:fill="FFFFFF"/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Solicitantul prezintă:</w:t>
            </w:r>
          </w:p>
          <w:p w:rsidR="00C45F56" w:rsidRDefault="00C45F56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34" w:hanging="142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cererea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solicitantului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5F56" w:rsidRDefault="00C45F56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34" w:hanging="142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nutrientul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substanţă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produsul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produse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menţiunii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caracteristicile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sale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speciale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5F56" w:rsidRDefault="00C45F56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34" w:hanging="142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independente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care 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făcut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unor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evaluări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egali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cazul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acestea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sînt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disponibile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realizate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menţiunea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alt material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disponibil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demonstra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menţiunea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conformă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criteriile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prezentul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Regulament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5F56" w:rsidRDefault="00C45F56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34" w:hanging="142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indicare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informaţiilor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trebui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considerate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ţin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însoţite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justificare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posibilă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a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verificată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5F56" w:rsidRDefault="00C45F56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34" w:hanging="142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studii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ştiinţifice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relevante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menţiunea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cauză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</w:p>
          <w:p w:rsidR="00C45F56" w:rsidRDefault="00C45F56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34" w:hanging="142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propunere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formularea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menţiunii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care 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obiectul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cererii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avizare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sanitară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condiţiile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C45F56" w:rsidRDefault="00C45F56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ind w:left="34" w:hanging="142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rezumat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cererii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45F56" w:rsidRPr="00C45F56" w:rsidTr="00C45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6" w:rsidRDefault="00C45F56" w:rsidP="00743124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C45F56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Acte</w:t>
            </w:r>
            <w:proofErr w:type="spellEnd"/>
            <w:r>
              <w:rPr>
                <w:lang w:val="en-US" w:eastAsia="en-US"/>
              </w:rPr>
              <w:t xml:space="preserve"> normative </w:t>
            </w:r>
            <w:proofErr w:type="spellStart"/>
            <w:r>
              <w:rPr>
                <w:lang w:val="en-US" w:eastAsia="en-US"/>
              </w:rPr>
              <w:t>în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baza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cărora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este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prestat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serviciul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56" w:rsidRDefault="005E30D8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proofErr w:type="spellStart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Legea</w:t>
              </w:r>
              <w:proofErr w:type="spellEnd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nr.10/2009 </w:t>
              </w:r>
              <w:proofErr w:type="spellStart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privind</w:t>
              </w:r>
              <w:proofErr w:type="spellEnd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supravegherea</w:t>
              </w:r>
              <w:proofErr w:type="spellEnd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de stat </w:t>
              </w:r>
              <w:proofErr w:type="gramStart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proofErr w:type="gramEnd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sănătăţii</w:t>
              </w:r>
              <w:proofErr w:type="spellEnd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publice</w:t>
              </w:r>
              <w:proofErr w:type="spellEnd"/>
              <w:r w:rsidR="00C45F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, art. 24;</w:t>
              </w:r>
            </w:hyperlink>
          </w:p>
          <w:p w:rsidR="00C45F56" w:rsidRDefault="00C45F56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hanging="218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5E30D8">
              <w:fldChar w:fldCharType="begin"/>
            </w:r>
            <w:r w:rsidR="005E30D8" w:rsidRPr="005E30D8">
              <w:rPr>
                <w:lang w:val="en-US"/>
              </w:rPr>
              <w:instrText xml:space="preserve"> HYPERLINK "https://www.legis.md/cautare/getResults?doc_id=109690&amp;lang=ro" \t "_blank" </w:instrText>
            </w:r>
            <w:r w:rsidR="005E30D8">
              <w:fldChar w:fldCharType="separate"/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Hotărîrea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nr.196/2011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aprobarea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Regulamentului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sanitar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menţiunile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nutriţionale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sănătate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înscrise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pe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produsele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alimentare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="005E30D8"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C45F56" w:rsidRDefault="00C45F56" w:rsidP="00743124">
            <w:pPr>
              <w:pStyle w:val="a6"/>
              <w:numPr>
                <w:ilvl w:val="2"/>
                <w:numId w:val="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hanging="218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5E30D8">
              <w:fldChar w:fldCharType="begin"/>
            </w:r>
            <w:r w:rsidR="005E30D8" w:rsidRPr="005E30D8">
              <w:rPr>
                <w:lang w:val="en-US"/>
              </w:rPr>
              <w:instrText xml:space="preserve"> HYPERLINK "https://www.legis.md/cautare/getResults?doc_id=103259&amp;lang=ro" </w:instrText>
            </w:r>
            <w:r w:rsidR="005E30D8">
              <w:fldChar w:fldCharType="separate"/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Hotărîrea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>nr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533/2011 </w:t>
            </w:r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cu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privire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aprobarea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Listei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tarifelor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serviciilor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contra cost din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sfera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sănătăţii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publice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prestate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persoanelor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fizice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juridice</w:t>
            </w:r>
            <w:proofErr w:type="spellEnd"/>
            <w:r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="005E30D8">
              <w:rPr>
                <w:rStyle w:val="a3"/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C45F56" w:rsidRDefault="00C45F56" w:rsidP="00C45F56">
      <w:pPr>
        <w:rPr>
          <w:rFonts w:eastAsiaTheme="minorHAnsi"/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rPr>
          <w:sz w:val="24"/>
          <w:szCs w:val="24"/>
        </w:rPr>
      </w:pPr>
    </w:p>
    <w:p w:rsidR="00C45F56" w:rsidRDefault="00C45F56" w:rsidP="00C45F56">
      <w:pPr>
        <w:jc w:val="right"/>
        <w:rPr>
          <w:b/>
          <w:bCs/>
          <w:sz w:val="24"/>
          <w:szCs w:val="24"/>
          <w:lang w:eastAsia="en-US"/>
        </w:rPr>
      </w:pPr>
    </w:p>
    <w:p w:rsidR="00C45F56" w:rsidRDefault="00C45F56" w:rsidP="00C45F56">
      <w:pPr>
        <w:jc w:val="right"/>
        <w:rPr>
          <w:b/>
          <w:bCs/>
          <w:sz w:val="24"/>
          <w:szCs w:val="24"/>
          <w:lang w:eastAsia="en-US"/>
        </w:rPr>
      </w:pPr>
    </w:p>
    <w:p w:rsidR="00753EFB" w:rsidRDefault="00753EFB"/>
    <w:sectPr w:rsidR="00753EFB" w:rsidSect="005E30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6"/>
    <w:multiLevelType w:val="hybridMultilevel"/>
    <w:tmpl w:val="5130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55158"/>
    <w:multiLevelType w:val="multilevel"/>
    <w:tmpl w:val="EA8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E1"/>
    <w:rsid w:val="003148E1"/>
    <w:rsid w:val="005E30D8"/>
    <w:rsid w:val="00753EFB"/>
    <w:rsid w:val="00C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5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5F5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5">
    <w:name w:val="Абзац списка Знак"/>
    <w:aliases w:val="References Знак,NUMBERED PARAGRAPH Знак,List Paragraph 1 Знак,Bullets Знак,List_Paragraph Знак,Multilevel para_II Знак,List Paragraph1 Знак"/>
    <w:link w:val="a6"/>
    <w:uiPriority w:val="34"/>
    <w:locked/>
    <w:rsid w:val="00C45F56"/>
  </w:style>
  <w:style w:type="paragraph" w:styleId="a6">
    <w:name w:val="List Paragraph"/>
    <w:aliases w:val="References,NUMBERED PARAGRAPH,List Paragraph 1,Bullets,List_Paragraph,Multilevel para_II,List Paragraph1"/>
    <w:basedOn w:val="a"/>
    <w:link w:val="a5"/>
    <w:uiPriority w:val="34"/>
    <w:qFormat/>
    <w:rsid w:val="00C45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7">
    <w:name w:val="Table Grid"/>
    <w:basedOn w:val="a1"/>
    <w:uiPriority w:val="39"/>
    <w:rsid w:val="00C45F56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5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5F5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5">
    <w:name w:val="Абзац списка Знак"/>
    <w:aliases w:val="References Знак,NUMBERED PARAGRAPH Знак,List Paragraph 1 Знак,Bullets Знак,List_Paragraph Знак,Multilevel para_II Знак,List Paragraph1 Знак"/>
    <w:link w:val="a6"/>
    <w:uiPriority w:val="34"/>
    <w:locked/>
    <w:rsid w:val="00C45F56"/>
  </w:style>
  <w:style w:type="paragraph" w:styleId="a6">
    <w:name w:val="List Paragraph"/>
    <w:aliases w:val="References,NUMBERED PARAGRAPH,List Paragraph 1,Bullets,List_Paragraph,Multilevel para_II,List Paragraph1"/>
    <w:basedOn w:val="a"/>
    <w:link w:val="a5"/>
    <w:uiPriority w:val="34"/>
    <w:qFormat/>
    <w:rsid w:val="00C45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7">
    <w:name w:val="Table Grid"/>
    <w:basedOn w:val="a1"/>
    <w:uiPriority w:val="39"/>
    <w:rsid w:val="00C45F56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md/cautare/getResults?doc_id=133273&amp;lang=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ansp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sp.md/index.php/depune-petit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User™</dc:creator>
  <cp:keywords/>
  <dc:description/>
  <cp:lastModifiedBy>User™</cp:lastModifiedBy>
  <cp:revision>4</cp:revision>
  <dcterms:created xsi:type="dcterms:W3CDTF">2023-10-03T11:59:00Z</dcterms:created>
  <dcterms:modified xsi:type="dcterms:W3CDTF">2023-10-03T12:01:00Z</dcterms:modified>
</cp:coreProperties>
</file>